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01FB8D" w14:textId="70313F2E" w:rsidR="002672FB" w:rsidRPr="006F07E5" w:rsidRDefault="0061799E" w:rsidP="0061799E">
      <w:pPr>
        <w:jc w:val="center"/>
        <w:rPr>
          <w:rFonts w:cs="Times New Roman"/>
          <w:b/>
          <w:bCs/>
          <w:szCs w:val="24"/>
        </w:rPr>
      </w:pPr>
      <w:r w:rsidRPr="006F07E5">
        <w:rPr>
          <w:rFonts w:cs="Times New Roman"/>
          <w:b/>
          <w:bCs/>
          <w:szCs w:val="24"/>
        </w:rPr>
        <w:t xml:space="preserve">Determining the functional role of small ribosomal protein bS21 in </w:t>
      </w:r>
      <w:r w:rsidR="00042B2E">
        <w:rPr>
          <w:rFonts w:cs="Times New Roman"/>
          <w:b/>
          <w:bCs/>
          <w:szCs w:val="24"/>
        </w:rPr>
        <w:t>regulating gene expression in two pathogenic bacteria</w:t>
      </w:r>
    </w:p>
    <w:p w14:paraId="08A9134C" w14:textId="00FC0384" w:rsidR="0064279D" w:rsidRDefault="0064279D" w:rsidP="0064279D">
      <w:pPr>
        <w:pStyle w:val="Heading1"/>
      </w:pPr>
      <w:r>
        <w:t>3. Experimental Methods</w:t>
      </w:r>
    </w:p>
    <w:p w14:paraId="5F1F9DE4" w14:textId="2977CA23" w:rsidR="005D1715" w:rsidRDefault="00174D34" w:rsidP="004C54CD">
      <w:pPr>
        <w:pStyle w:val="Heading2"/>
        <w:rPr>
          <w:i/>
          <w:iCs/>
        </w:rPr>
      </w:pPr>
      <w:r w:rsidRPr="004C54CD">
        <w:t>3.1</w:t>
      </w:r>
      <w:r w:rsidR="007469B3">
        <w:t>.</w:t>
      </w:r>
      <w:r w:rsidRPr="004C54CD">
        <w:t xml:space="preserve"> </w:t>
      </w:r>
      <w:r w:rsidR="005D1715" w:rsidRPr="00182AA5">
        <w:t>Aim 1:</w:t>
      </w:r>
      <w:r w:rsidR="005D1715" w:rsidRPr="004C54CD">
        <w:t xml:space="preserve"> </w:t>
      </w:r>
      <w:r w:rsidR="001F0F90">
        <w:t>What mechanism is used by</w:t>
      </w:r>
      <w:r w:rsidR="005D1715" w:rsidRPr="004C54CD">
        <w:t xml:space="preserve"> bS21-2 to regulate gene expression</w:t>
      </w:r>
      <w:r w:rsidR="003E6090" w:rsidRPr="004C54CD">
        <w:t xml:space="preserve"> in </w:t>
      </w:r>
      <w:r w:rsidR="003E6090" w:rsidRPr="000B23C6">
        <w:rPr>
          <w:i/>
          <w:iCs/>
        </w:rPr>
        <w:t>Francisella tularensis</w:t>
      </w:r>
      <w:r w:rsidR="00451538">
        <w:rPr>
          <w:i/>
          <w:iCs/>
        </w:rPr>
        <w:t>?</w:t>
      </w:r>
    </w:p>
    <w:p w14:paraId="26AB4841" w14:textId="3BA06CF5" w:rsidR="000B23C6" w:rsidRDefault="000B23C6" w:rsidP="000B23C6">
      <w:pPr>
        <w:pStyle w:val="Heading3"/>
      </w:pPr>
      <w:r>
        <w:t>3.1.1</w:t>
      </w:r>
      <w:r w:rsidR="00CA2CFE">
        <w:t>.</w:t>
      </w:r>
      <w:r>
        <w:t xml:space="preserve"> Rationale</w:t>
      </w:r>
    </w:p>
    <w:p w14:paraId="0BC0E54F" w14:textId="5E90647A" w:rsidR="000B23C6" w:rsidRPr="000B23C6" w:rsidRDefault="000B23C6" w:rsidP="000B23C6">
      <w:pPr>
        <w:ind w:firstLine="720"/>
      </w:pPr>
      <w:r>
        <w:t>Because of its physical location in the ribosome</w:t>
      </w:r>
      <w:r w:rsidR="001B6E1C">
        <w:t xml:space="preserve"> (Berk)</w:t>
      </w:r>
      <w:r>
        <w:t xml:space="preserve"> and </w:t>
      </w:r>
      <w:r w:rsidR="00176D63">
        <w:t xml:space="preserve">demonstrated </w:t>
      </w:r>
      <w:r>
        <w:t xml:space="preserve">role in translation initiation (Van </w:t>
      </w:r>
      <w:proofErr w:type="spellStart"/>
      <w:r>
        <w:t>Duin</w:t>
      </w:r>
      <w:proofErr w:type="spellEnd"/>
      <w:r>
        <w:t xml:space="preserve">), we hypothesize that bS21 is involved in promoting translation of specific transcripts </w:t>
      </w:r>
      <w:r w:rsidR="00176D63">
        <w:t xml:space="preserve">at the stage of translation </w:t>
      </w:r>
      <w:r w:rsidR="000B3371">
        <w:t>initiation</w:t>
      </w:r>
      <w:r w:rsidR="00176D63">
        <w:t xml:space="preserve"> by </w:t>
      </w:r>
      <w:r>
        <w:t>interactin</w:t>
      </w:r>
      <w:r w:rsidR="000B3371">
        <w:t>g</w:t>
      </w:r>
      <w:r>
        <w:t xml:space="preserve"> with </w:t>
      </w:r>
      <w:r w:rsidR="00176D63">
        <w:t xml:space="preserve">mRNA </w:t>
      </w:r>
      <w:r>
        <w:t xml:space="preserve">leader sequences. </w:t>
      </w:r>
      <w:r w:rsidR="0005321A">
        <w:t>Distinct amino acid residues in the</w:t>
      </w:r>
      <w:r w:rsidR="007818AE">
        <w:t xml:space="preserve"> three homologs </w:t>
      </w:r>
      <w:r w:rsidR="0005321A">
        <w:t>may preferentially bind to specific sequences</w:t>
      </w:r>
      <w:r w:rsidR="0063089C">
        <w:t xml:space="preserve"> or structural motifs</w:t>
      </w:r>
      <w:r w:rsidR="0005321A">
        <w:t xml:space="preserve"> in the 5’ untranslated region (UTR) of mRNA, leading to </w:t>
      </w:r>
      <w:r w:rsidR="003A59AA">
        <w:t>higher affinity</w:t>
      </w:r>
      <w:r w:rsidR="0005321A">
        <w:t xml:space="preserve"> of the ribosome and increased translation of </w:t>
      </w:r>
      <w:r w:rsidR="00762D7F">
        <w:t>distinct</w:t>
      </w:r>
      <w:r w:rsidR="0005321A">
        <w:t xml:space="preserve"> species of mRNA.</w:t>
      </w:r>
    </w:p>
    <w:p w14:paraId="2F54C7CF" w14:textId="1480C62D" w:rsidR="0064279D" w:rsidRDefault="00174D34" w:rsidP="00174D34">
      <w:pPr>
        <w:pStyle w:val="Heading3"/>
      </w:pPr>
      <w:r>
        <w:t>3.1.</w:t>
      </w:r>
      <w:r w:rsidR="000B23C6">
        <w:t>2</w:t>
      </w:r>
      <w:r w:rsidR="00CA2CFE">
        <w:t>.</w:t>
      </w:r>
      <w:r>
        <w:t xml:space="preserve"> </w:t>
      </w:r>
      <w:r w:rsidR="000B23C6">
        <w:t xml:space="preserve">Reporter assays </w:t>
      </w:r>
      <w:r w:rsidR="006D6360">
        <w:t>of 5’UTR</w:t>
      </w:r>
    </w:p>
    <w:p w14:paraId="0F40773D" w14:textId="0985522B" w:rsidR="00DA1790" w:rsidRDefault="00C818F9" w:rsidP="006D6360">
      <w:r>
        <w:tab/>
        <w:t xml:space="preserve">We will test the above hypothesis using a </w:t>
      </w:r>
      <w:r w:rsidR="000B3371" w:rsidRPr="003A59AA">
        <w:rPr>
          <w:i/>
          <w:iCs/>
        </w:rPr>
        <w:t>l</w:t>
      </w:r>
      <w:r w:rsidRPr="003A59AA">
        <w:rPr>
          <w:i/>
          <w:iCs/>
        </w:rPr>
        <w:t>acZ</w:t>
      </w:r>
      <w:r>
        <w:t xml:space="preserve"> reporter </w:t>
      </w:r>
      <w:r w:rsidR="000B3371">
        <w:t>assay</w:t>
      </w:r>
      <w:r>
        <w:t xml:space="preserve">. </w:t>
      </w:r>
      <w:r w:rsidR="000B3371">
        <w:t>Specifically</w:t>
      </w:r>
      <w:r w:rsidR="00D3124B">
        <w:t>,</w:t>
      </w:r>
      <w:r>
        <w:t xml:space="preserve"> we will generate a </w:t>
      </w:r>
      <w:r w:rsidR="00D3124B">
        <w:t>vector</w:t>
      </w:r>
      <w:r>
        <w:t xml:space="preserve"> that fuses a </w:t>
      </w:r>
      <w:r w:rsidR="000B3371">
        <w:t xml:space="preserve">strong </w:t>
      </w:r>
      <w:r>
        <w:t>promoter</w:t>
      </w:r>
      <w:r w:rsidR="000B3371">
        <w:t>,</w:t>
      </w:r>
      <w:r>
        <w:t xml:space="preserve"> </w:t>
      </w:r>
      <w:proofErr w:type="spellStart"/>
      <w:r w:rsidR="000B3371" w:rsidRPr="00C818F9">
        <w:t>P</w:t>
      </w:r>
      <w:r w:rsidR="000B3371" w:rsidRPr="003A59AA">
        <w:rPr>
          <w:i/>
          <w:iCs/>
          <w:vertAlign w:val="subscript"/>
        </w:rPr>
        <w:t>bfr</w:t>
      </w:r>
      <w:proofErr w:type="spellEnd"/>
      <w:r w:rsidR="000B3371">
        <w:t xml:space="preserve">, </w:t>
      </w:r>
      <w:r w:rsidRPr="00C818F9">
        <w:t>to</w:t>
      </w:r>
      <w:r>
        <w:t xml:space="preserve"> the 5</w:t>
      </w:r>
      <w:r w:rsidR="003A59AA">
        <w:rPr>
          <w:rFonts w:cs="Times New Roman"/>
        </w:rPr>
        <w:t>´</w:t>
      </w:r>
      <w:r>
        <w:t xml:space="preserve">UTR of </w:t>
      </w:r>
      <w:r w:rsidRPr="00D3124B">
        <w:rPr>
          <w:i/>
          <w:iCs/>
        </w:rPr>
        <w:t>pdpA</w:t>
      </w:r>
      <w:r w:rsidR="000B3371">
        <w:t xml:space="preserve">, followed by </w:t>
      </w:r>
      <w:r w:rsidR="004B6A37">
        <w:rPr>
          <w:i/>
          <w:iCs/>
        </w:rPr>
        <w:t>lacZ</w:t>
      </w:r>
      <w:r w:rsidR="004B6A37">
        <w:t xml:space="preserve">, which encodes </w:t>
      </w:r>
      <w:r w:rsidR="004B6A37">
        <w:rPr>
          <w:rFonts w:cs="Times New Roman"/>
        </w:rPr>
        <w:t>β</w:t>
      </w:r>
      <w:r w:rsidR="004B6A37">
        <w:t>-galactosidase</w:t>
      </w:r>
      <w:r w:rsidR="00FF72A7">
        <w:t xml:space="preserve"> (</w:t>
      </w:r>
      <w:proofErr w:type="spellStart"/>
      <w:r w:rsidR="00FF72A7">
        <w:t>P</w:t>
      </w:r>
      <w:r w:rsidR="00FF72A7" w:rsidRPr="003A59AA">
        <w:rPr>
          <w:i/>
          <w:iCs/>
          <w:vertAlign w:val="subscript"/>
        </w:rPr>
        <w:t>bfr</w:t>
      </w:r>
      <w:proofErr w:type="spellEnd"/>
      <w:r w:rsidR="00FF72A7">
        <w:t>-</w:t>
      </w:r>
      <w:proofErr w:type="spellStart"/>
      <w:r w:rsidR="000E5ED1">
        <w:t>UTR</w:t>
      </w:r>
      <w:r w:rsidR="000E5ED1" w:rsidRPr="003A59AA">
        <w:rPr>
          <w:i/>
          <w:iCs/>
          <w:vertAlign w:val="superscript"/>
        </w:rPr>
        <w:t>pdpA</w:t>
      </w:r>
      <w:proofErr w:type="spellEnd"/>
      <w:r w:rsidR="00FF72A7">
        <w:t>-lacZ</w:t>
      </w:r>
      <w:r w:rsidR="000E5ED1">
        <w:t>)</w:t>
      </w:r>
      <w:r>
        <w:t xml:space="preserve">. </w:t>
      </w:r>
      <w:r w:rsidR="000B3371">
        <w:t xml:space="preserve">We have </w:t>
      </w:r>
      <w:commentRangeStart w:id="0"/>
      <w:commentRangeStart w:id="1"/>
      <w:r w:rsidR="000B3371">
        <w:t>demonstrated</w:t>
      </w:r>
      <w:commentRangeEnd w:id="0"/>
      <w:r w:rsidR="000B3371">
        <w:rPr>
          <w:rStyle w:val="CommentReference"/>
          <w:rFonts w:asciiTheme="minorHAnsi" w:hAnsiTheme="minorHAnsi"/>
        </w:rPr>
        <w:commentReference w:id="0"/>
      </w:r>
      <w:commentRangeEnd w:id="1"/>
      <w:r w:rsidR="003A59AA">
        <w:rPr>
          <w:rStyle w:val="CommentReference"/>
          <w:rFonts w:asciiTheme="minorHAnsi" w:hAnsiTheme="minorHAnsi"/>
        </w:rPr>
        <w:commentReference w:id="1"/>
      </w:r>
      <w:r w:rsidR="000B3371">
        <w:t xml:space="preserve"> (</w:t>
      </w:r>
      <w:r w:rsidR="00766FBB">
        <w:t>Figure X</w:t>
      </w:r>
      <w:r w:rsidR="000B3371">
        <w:t xml:space="preserve">) that the protein encoded by </w:t>
      </w:r>
      <w:proofErr w:type="spellStart"/>
      <w:r w:rsidR="000B3371" w:rsidRPr="003A59AA">
        <w:rPr>
          <w:i/>
          <w:iCs/>
        </w:rPr>
        <w:t>bfr</w:t>
      </w:r>
      <w:proofErr w:type="spellEnd"/>
      <w:r w:rsidR="000B3371">
        <w:t xml:space="preserve">, </w:t>
      </w:r>
      <w:r w:rsidR="000B3371" w:rsidRPr="000B3371">
        <w:t>bacterioferritin</w:t>
      </w:r>
      <w:r w:rsidR="000B3371">
        <w:t>, is</w:t>
      </w:r>
      <w:r w:rsidR="00D3124B">
        <w:t xml:space="preserve"> not affected by loss of </w:t>
      </w:r>
      <w:r w:rsidR="00D3124B">
        <w:rPr>
          <w:i/>
          <w:iCs/>
        </w:rPr>
        <w:t>rpsU2</w:t>
      </w:r>
      <w:r w:rsidR="003A59AA">
        <w:rPr>
          <w:i/>
          <w:iCs/>
        </w:rPr>
        <w:t xml:space="preserve">, </w:t>
      </w:r>
      <w:r w:rsidR="003A59AA">
        <w:t>which indicates rates of transcription should be the same in both genetic backgrounds</w:t>
      </w:r>
      <w:r w:rsidR="00D3124B">
        <w:t>.</w:t>
      </w:r>
      <w:r w:rsidR="002C293D">
        <w:t xml:space="preserve"> </w:t>
      </w:r>
      <w:r w:rsidR="000B3371">
        <w:t xml:space="preserve">We chose the </w:t>
      </w:r>
      <w:r w:rsidR="002C293D">
        <w:rPr>
          <w:i/>
          <w:iCs/>
        </w:rPr>
        <w:t>pdpA</w:t>
      </w:r>
      <w:r w:rsidR="002C293D">
        <w:t xml:space="preserve"> </w:t>
      </w:r>
      <w:r w:rsidR="000B3371">
        <w:t>5</w:t>
      </w:r>
      <w:r w:rsidR="000B3371">
        <w:rPr>
          <w:rFonts w:cs="Times New Roman"/>
        </w:rPr>
        <w:t xml:space="preserve">´ </w:t>
      </w:r>
      <w:r w:rsidR="000B3371">
        <w:t xml:space="preserve">UTR </w:t>
      </w:r>
      <w:r w:rsidR="002C293D">
        <w:t xml:space="preserve">because </w:t>
      </w:r>
      <w:r w:rsidR="00FF72A7">
        <w:t>we know</w:t>
      </w:r>
      <w:r w:rsidR="002F244E">
        <w:t xml:space="preserve"> it is regulated by </w:t>
      </w:r>
      <w:r w:rsidR="00A87FA5">
        <w:t>bS21-2</w:t>
      </w:r>
      <w:r w:rsidR="002F244E">
        <w:t xml:space="preserve"> (see Figure X from Intro) a</w:t>
      </w:r>
      <w:r w:rsidR="00FF72A7">
        <w:t xml:space="preserve">nd </w:t>
      </w:r>
      <w:r w:rsidR="002C293D">
        <w:t>it has a defined 5</w:t>
      </w:r>
      <w:r w:rsidR="000B3371">
        <w:rPr>
          <w:rFonts w:cs="Times New Roman"/>
        </w:rPr>
        <w:t>´</w:t>
      </w:r>
      <w:r w:rsidR="000B3371">
        <w:t xml:space="preserve"> </w:t>
      </w:r>
      <w:r w:rsidR="002C293D">
        <w:t>UTR</w:t>
      </w:r>
      <w:r w:rsidR="00FF72A7">
        <w:t xml:space="preserve"> (Ref Ramsey 2015)</w:t>
      </w:r>
      <w:r w:rsidR="002F244E">
        <w:t>. We will design t</w:t>
      </w:r>
      <w:r w:rsidR="00D3124B">
        <w:t xml:space="preserve">he vector to integrate into a neutral location in the </w:t>
      </w:r>
      <w:r w:rsidR="00D3124B" w:rsidRPr="00D3124B">
        <w:rPr>
          <w:i/>
          <w:iCs/>
        </w:rPr>
        <w:t>F. tularensis</w:t>
      </w:r>
      <w:r w:rsidR="00D3124B">
        <w:t xml:space="preserve"> genome</w:t>
      </w:r>
      <w:r w:rsidR="0070464D">
        <w:t xml:space="preserve"> using a Tn7 transposon</w:t>
      </w:r>
      <w:r w:rsidR="009D3D72">
        <w:t xml:space="preserve">, as outlined in </w:t>
      </w:r>
      <w:proofErr w:type="spellStart"/>
      <w:r w:rsidR="009D3D72">
        <w:t>Lovullo</w:t>
      </w:r>
      <w:proofErr w:type="spellEnd"/>
      <w:r w:rsidR="009D3D72">
        <w:t xml:space="preserve"> </w:t>
      </w:r>
      <w:r w:rsidR="009D3D72" w:rsidRPr="009D3D72">
        <w:rPr>
          <w:i/>
          <w:iCs/>
        </w:rPr>
        <w:t>et al.</w:t>
      </w:r>
      <w:r w:rsidR="009D3D72">
        <w:t xml:space="preserve"> (2009).</w:t>
      </w:r>
      <w:r w:rsidR="0070464D">
        <w:t xml:space="preserve"> (</w:t>
      </w:r>
      <w:proofErr w:type="spellStart"/>
      <w:r w:rsidR="0070464D">
        <w:t>Lovullo</w:t>
      </w:r>
      <w:proofErr w:type="spellEnd"/>
      <w:r w:rsidR="0070464D">
        <w:t>).</w:t>
      </w:r>
      <w:r w:rsidR="002C293D">
        <w:t xml:space="preserve"> </w:t>
      </w:r>
      <w:r w:rsidR="00766FBB">
        <w:t xml:space="preserve">We will integrate the </w:t>
      </w:r>
      <w:r w:rsidR="002C293D">
        <w:t xml:space="preserve">vector into both the wild-type strain and the </w:t>
      </w:r>
      <w:r w:rsidR="002C293D">
        <w:rPr>
          <w:rFonts w:ascii="Calibri" w:hAnsi="Calibri" w:cs="Calibri"/>
        </w:rPr>
        <w:t>Δ</w:t>
      </w:r>
      <w:r w:rsidR="002C293D">
        <w:rPr>
          <w:i/>
          <w:iCs/>
        </w:rPr>
        <w:t xml:space="preserve">rpsU2 </w:t>
      </w:r>
      <w:r w:rsidR="002C293D">
        <w:t xml:space="preserve">strain. </w:t>
      </w:r>
      <w:r w:rsidR="00766FBB">
        <w:t>We</w:t>
      </w:r>
      <w:r w:rsidR="00B01333">
        <w:t xml:space="preserve"> will also</w:t>
      </w:r>
      <w:r w:rsidR="00766FBB">
        <w:t xml:space="preserve"> generate a control vector</w:t>
      </w:r>
      <w:r w:rsidR="00B01333">
        <w:t xml:space="preserve"> using the same promoter and </w:t>
      </w:r>
      <w:r w:rsidR="00B01333">
        <w:rPr>
          <w:i/>
          <w:iCs/>
        </w:rPr>
        <w:t>lacZ</w:t>
      </w:r>
      <w:r w:rsidR="00B01333">
        <w:t xml:space="preserve"> gene</w:t>
      </w:r>
      <w:r w:rsidR="006A3E58">
        <w:t>,</w:t>
      </w:r>
      <w:r w:rsidR="00B01333">
        <w:t xml:space="preserve"> but</w:t>
      </w:r>
      <w:r w:rsidR="006A3E58">
        <w:t xml:space="preserve"> it</w:t>
      </w:r>
      <w:r w:rsidR="00B01333">
        <w:t xml:space="preserve"> will contain the 5</w:t>
      </w:r>
      <w:r w:rsidR="003A59AA">
        <w:rPr>
          <w:rFonts w:cs="Times New Roman"/>
        </w:rPr>
        <w:t>´</w:t>
      </w:r>
      <w:r w:rsidR="00B01333">
        <w:t xml:space="preserve">UTR of </w:t>
      </w:r>
      <w:proofErr w:type="spellStart"/>
      <w:r w:rsidR="00FF72A7" w:rsidRPr="002F244E">
        <w:rPr>
          <w:i/>
          <w:iCs/>
        </w:rPr>
        <w:t>bfr</w:t>
      </w:r>
      <w:proofErr w:type="spellEnd"/>
      <w:r w:rsidR="000E5ED1">
        <w:rPr>
          <w:i/>
          <w:iCs/>
        </w:rPr>
        <w:t xml:space="preserve"> </w:t>
      </w:r>
      <w:r w:rsidR="000E5ED1">
        <w:t>(</w:t>
      </w:r>
      <w:proofErr w:type="spellStart"/>
      <w:r w:rsidR="000E5ED1">
        <w:t>P</w:t>
      </w:r>
      <w:r w:rsidR="000E5ED1" w:rsidRPr="003017C1">
        <w:rPr>
          <w:i/>
          <w:iCs/>
          <w:vertAlign w:val="subscript"/>
        </w:rPr>
        <w:t>bfr</w:t>
      </w:r>
      <w:proofErr w:type="spellEnd"/>
      <w:r w:rsidR="000E5ED1">
        <w:t>-</w:t>
      </w:r>
      <w:proofErr w:type="spellStart"/>
      <w:r w:rsidR="000E5ED1">
        <w:t>UTR</w:t>
      </w:r>
      <w:r w:rsidR="000E5ED1">
        <w:rPr>
          <w:i/>
          <w:iCs/>
          <w:vertAlign w:val="superscript"/>
        </w:rPr>
        <w:t>bfr</w:t>
      </w:r>
      <w:proofErr w:type="spellEnd"/>
      <w:r w:rsidR="000E5ED1">
        <w:t>-lacZ)</w:t>
      </w:r>
      <w:r w:rsidR="002F244E">
        <w:t xml:space="preserve">, thereby serving as a negative control because we know that </w:t>
      </w:r>
      <w:proofErr w:type="spellStart"/>
      <w:r w:rsidR="002F244E" w:rsidRPr="002F244E">
        <w:rPr>
          <w:i/>
          <w:iCs/>
        </w:rPr>
        <w:t>bfr</w:t>
      </w:r>
      <w:proofErr w:type="spellEnd"/>
      <w:r w:rsidR="002F244E" w:rsidRPr="002F244E">
        <w:rPr>
          <w:i/>
          <w:iCs/>
        </w:rPr>
        <w:t xml:space="preserve"> </w:t>
      </w:r>
      <w:r w:rsidR="002F244E">
        <w:t xml:space="preserve">is not </w:t>
      </w:r>
      <w:r w:rsidR="002F244E">
        <w:lastRenderedPageBreak/>
        <w:t xml:space="preserve">regulated by </w:t>
      </w:r>
      <w:r w:rsidR="00A87FA5">
        <w:t>bS21-2</w:t>
      </w:r>
      <w:r w:rsidR="00766FBB">
        <w:t xml:space="preserve"> (Figure x)</w:t>
      </w:r>
      <w:r w:rsidR="00B01333">
        <w:t xml:space="preserve">. </w:t>
      </w:r>
      <w:r w:rsidR="00DA1790">
        <w:t xml:space="preserve">Based on our hypothesis, we expect to see more </w:t>
      </w:r>
      <w:r w:rsidR="00DA1790">
        <w:rPr>
          <w:rFonts w:cs="Times New Roman"/>
        </w:rPr>
        <w:t>β</w:t>
      </w:r>
      <w:r w:rsidR="00DA1790">
        <w:t xml:space="preserve">-galactosidase produced in wild-type cells with our </w:t>
      </w:r>
      <w:r w:rsidR="000E5ED1" w:rsidRPr="000A7AF7">
        <w:rPr>
          <w:i/>
          <w:iCs/>
        </w:rPr>
        <w:t>pdpA</w:t>
      </w:r>
      <w:r w:rsidR="000E5ED1">
        <w:t xml:space="preserve"> UTR </w:t>
      </w:r>
      <w:r w:rsidR="00DA1790">
        <w:t xml:space="preserve">reporter vector compared to </w:t>
      </w:r>
      <w:r w:rsidR="00DA1790">
        <w:rPr>
          <w:rFonts w:ascii="Calibri" w:hAnsi="Calibri" w:cs="Calibri"/>
        </w:rPr>
        <w:t>Δ</w:t>
      </w:r>
      <w:r w:rsidR="00DA1790">
        <w:rPr>
          <w:i/>
          <w:iCs/>
        </w:rPr>
        <w:t>rpsU2</w:t>
      </w:r>
      <w:r w:rsidR="00DA1790">
        <w:t>, because ribosomes lacking bS21-2 will not efficiently interact with the 5</w:t>
      </w:r>
      <w:r w:rsidR="003A59AA">
        <w:rPr>
          <w:rFonts w:cs="Times New Roman"/>
        </w:rPr>
        <w:t>´</w:t>
      </w:r>
      <w:r w:rsidR="00FF72A7">
        <w:t xml:space="preserve">UTR </w:t>
      </w:r>
      <w:r w:rsidR="00DA1790">
        <w:t xml:space="preserve">of </w:t>
      </w:r>
      <w:r w:rsidR="00DA1790">
        <w:rPr>
          <w:i/>
          <w:iCs/>
        </w:rPr>
        <w:t>pdpA</w:t>
      </w:r>
      <w:r w:rsidR="00DA1790">
        <w:t xml:space="preserve">. The control vector should show constitutive production of </w:t>
      </w:r>
      <w:r w:rsidR="00DA1790">
        <w:rPr>
          <w:rFonts w:cs="Times New Roman"/>
        </w:rPr>
        <w:t>β</w:t>
      </w:r>
      <w:r w:rsidR="00DA1790">
        <w:t xml:space="preserve">-galactosidase, regardless of the genetic background, as our previous results </w:t>
      </w:r>
      <w:r w:rsidR="000E5ED1">
        <w:t xml:space="preserve">indicate that the presence or absence of </w:t>
      </w:r>
      <w:r w:rsidR="00DA1790">
        <w:t xml:space="preserve">bS21-2 </w:t>
      </w:r>
      <w:r w:rsidR="000E5ED1">
        <w:t xml:space="preserve">does not influence transcription or translation of </w:t>
      </w:r>
      <w:proofErr w:type="spellStart"/>
      <w:r w:rsidR="000E5ED1" w:rsidRPr="000A7AF7">
        <w:rPr>
          <w:i/>
          <w:iCs/>
        </w:rPr>
        <w:t>b</w:t>
      </w:r>
      <w:r w:rsidR="00DA1790" w:rsidRPr="000A7AF7">
        <w:rPr>
          <w:i/>
          <w:iCs/>
        </w:rPr>
        <w:t>fr</w:t>
      </w:r>
      <w:proofErr w:type="spellEnd"/>
      <w:r w:rsidR="00DA1790">
        <w:t>.</w:t>
      </w:r>
    </w:p>
    <w:p w14:paraId="7B93FA69" w14:textId="08AF3C30" w:rsidR="006D6360" w:rsidRPr="00B35D4F" w:rsidRDefault="000E5ED1" w:rsidP="00B35D4F">
      <w:pPr>
        <w:ind w:firstLine="720"/>
      </w:pPr>
      <w:r>
        <w:rPr>
          <w:rFonts w:cs="Times New Roman"/>
        </w:rPr>
        <w:t xml:space="preserve">We will perform </w:t>
      </w:r>
      <w:r w:rsidR="00970E4C">
        <w:rPr>
          <w:rFonts w:cs="Times New Roman"/>
        </w:rPr>
        <w:t>β</w:t>
      </w:r>
      <w:r w:rsidR="00970E4C">
        <w:t xml:space="preserve">-galactosidase assays </w:t>
      </w:r>
      <w:r>
        <w:t xml:space="preserve">as essentially described in (ref). Specifically, </w:t>
      </w:r>
      <w:r w:rsidR="006C1567">
        <w:rPr>
          <w:i/>
          <w:iCs/>
        </w:rPr>
        <w:t>F. tularensis</w:t>
      </w:r>
      <w:r w:rsidR="006C1567">
        <w:t xml:space="preserve"> containing </w:t>
      </w:r>
      <w:r>
        <w:t xml:space="preserve">reporter construct </w:t>
      </w:r>
      <w:r w:rsidR="006C1567">
        <w:t xml:space="preserve">integrations will be grown to mid-log in </w:t>
      </w:r>
      <w:r w:rsidR="00987638">
        <w:t xml:space="preserve">supplemented </w:t>
      </w:r>
      <w:r w:rsidR="006C1567">
        <w:t>Mueller-</w:t>
      </w:r>
      <w:r w:rsidR="006C1567" w:rsidRPr="00B35D4F">
        <w:rPr>
          <w:rFonts w:cs="Times New Roman"/>
        </w:rPr>
        <w:t xml:space="preserve">Hinton </w:t>
      </w:r>
      <w:r>
        <w:rPr>
          <w:rFonts w:cs="Times New Roman"/>
        </w:rPr>
        <w:t>b</w:t>
      </w:r>
      <w:r w:rsidRPr="00B35D4F">
        <w:rPr>
          <w:rFonts w:cs="Times New Roman"/>
        </w:rPr>
        <w:t>roth</w:t>
      </w:r>
      <w:r w:rsidR="00987638">
        <w:rPr>
          <w:rFonts w:cs="Times New Roman"/>
        </w:rPr>
        <w:t xml:space="preserve"> (0.025% iron pyrophosphate, 0.1% </w:t>
      </w:r>
      <w:proofErr w:type="spellStart"/>
      <w:r w:rsidR="00987638">
        <w:rPr>
          <w:rFonts w:cs="Times New Roman"/>
        </w:rPr>
        <w:t>gluocose</w:t>
      </w:r>
      <w:proofErr w:type="spellEnd"/>
      <w:r w:rsidR="00987638">
        <w:rPr>
          <w:rFonts w:cs="Times New Roman"/>
        </w:rPr>
        <w:t xml:space="preserve">, and 2% </w:t>
      </w:r>
      <w:proofErr w:type="spellStart"/>
      <w:r w:rsidR="00987638">
        <w:rPr>
          <w:rFonts w:cs="Times New Roman"/>
        </w:rPr>
        <w:t>Isovitalex</w:t>
      </w:r>
      <w:proofErr w:type="spellEnd"/>
      <w:r w:rsidR="00987638">
        <w:rPr>
          <w:rFonts w:cs="Times New Roman"/>
        </w:rPr>
        <w:t>)</w:t>
      </w:r>
      <w:r w:rsidR="006C1567" w:rsidRPr="00B35D4F">
        <w:rPr>
          <w:rFonts w:cs="Times New Roman"/>
        </w:rPr>
        <w:t>, shaking aerobically</w:t>
      </w:r>
      <w:r w:rsidR="003964C1">
        <w:rPr>
          <w:rFonts w:cs="Times New Roman"/>
        </w:rPr>
        <w:t xml:space="preserve"> at 37˚</w:t>
      </w:r>
      <w:r w:rsidR="003964C1">
        <w:t>C</w:t>
      </w:r>
      <w:r w:rsidR="006C1567" w:rsidRPr="00B35D4F">
        <w:rPr>
          <w:rFonts w:cs="Times New Roman"/>
        </w:rPr>
        <w:t>.</w:t>
      </w:r>
      <w:r w:rsidR="00EB3AE8" w:rsidRPr="00B35D4F">
        <w:rPr>
          <w:rFonts w:cs="Times New Roman"/>
        </w:rPr>
        <w:t xml:space="preserve"> They will then be chilled on ice</w:t>
      </w:r>
      <w:r w:rsidR="00B35D4F">
        <w:rPr>
          <w:rFonts w:cs="Times New Roman"/>
        </w:rPr>
        <w:t xml:space="preserve"> </w:t>
      </w:r>
      <w:r w:rsidR="00DA2401">
        <w:rPr>
          <w:rFonts w:cs="Times New Roman"/>
        </w:rPr>
        <w:t xml:space="preserve">to stop growth </w:t>
      </w:r>
      <w:r w:rsidR="00B35D4F">
        <w:rPr>
          <w:rFonts w:cs="Times New Roman"/>
        </w:rPr>
        <w:t>and optical densities read at A</w:t>
      </w:r>
      <w:r w:rsidR="00B35D4F">
        <w:rPr>
          <w:rFonts w:cs="Times New Roman"/>
          <w:vertAlign w:val="subscript"/>
        </w:rPr>
        <w:t>600</w:t>
      </w:r>
      <w:r w:rsidR="00B35D4F">
        <w:rPr>
          <w:rFonts w:cs="Times New Roman"/>
        </w:rPr>
        <w:t>. Cells will then be</w:t>
      </w:r>
      <w:r w:rsidR="00EB3AE8" w:rsidRPr="00B35D4F">
        <w:rPr>
          <w:rFonts w:cs="Times New Roman"/>
        </w:rPr>
        <w:t xml:space="preserve"> added to </w:t>
      </w:r>
      <w:r>
        <w:rPr>
          <w:rFonts w:cs="Times New Roman"/>
        </w:rPr>
        <w:t>the assay</w:t>
      </w:r>
      <w:r w:rsidR="00EB3AE8" w:rsidRPr="00B35D4F">
        <w:rPr>
          <w:rFonts w:cs="Times New Roman"/>
        </w:rPr>
        <w:t xml:space="preserve"> buffer</w:t>
      </w:r>
      <w:r>
        <w:rPr>
          <w:rFonts w:cs="Times New Roman"/>
        </w:rPr>
        <w:t>,</w:t>
      </w:r>
      <w:r w:rsidR="00EB3AE8" w:rsidRPr="00B35D4F">
        <w:rPr>
          <w:rFonts w:cs="Times New Roman"/>
        </w:rPr>
        <w:t xml:space="preserve"> containing 0.06M Na</w:t>
      </w:r>
      <w:r w:rsidR="00EB3AE8" w:rsidRPr="00B35D4F">
        <w:rPr>
          <w:rFonts w:cs="Times New Roman"/>
          <w:vertAlign w:val="subscript"/>
        </w:rPr>
        <w:t>2</w:t>
      </w:r>
      <w:r w:rsidR="00EB3AE8" w:rsidRPr="00B35D4F">
        <w:rPr>
          <w:rFonts w:cs="Times New Roman"/>
        </w:rPr>
        <w:t>HPO</w:t>
      </w:r>
      <w:r w:rsidR="00EB3AE8" w:rsidRPr="00B35D4F">
        <w:rPr>
          <w:rFonts w:cs="Times New Roman"/>
          <w:vertAlign w:val="subscript"/>
        </w:rPr>
        <w:t>4</w:t>
      </w:r>
      <w:r w:rsidR="00EB3AE8" w:rsidRPr="00B35D4F">
        <w:rPr>
          <w:rFonts w:cs="Times New Roman"/>
        </w:rPr>
        <w:t>•7H</w:t>
      </w:r>
      <w:r w:rsidR="00EB3AE8" w:rsidRPr="00B35D4F">
        <w:rPr>
          <w:rFonts w:cs="Times New Roman"/>
          <w:vertAlign w:val="subscript"/>
        </w:rPr>
        <w:t>2</w:t>
      </w:r>
      <w:r w:rsidR="00EB3AE8" w:rsidRPr="00B35D4F">
        <w:rPr>
          <w:rFonts w:cs="Times New Roman"/>
        </w:rPr>
        <w:t>O, 0.04M NaH</w:t>
      </w:r>
      <w:r w:rsidR="00EB3AE8" w:rsidRPr="00B35D4F">
        <w:rPr>
          <w:rFonts w:cs="Times New Roman"/>
          <w:vertAlign w:val="subscript"/>
        </w:rPr>
        <w:t>2</w:t>
      </w:r>
      <w:r w:rsidR="00EB3AE8" w:rsidRPr="00B35D4F">
        <w:rPr>
          <w:rFonts w:cs="Times New Roman"/>
        </w:rPr>
        <w:t>PO</w:t>
      </w:r>
      <w:r w:rsidR="00EB3AE8" w:rsidRPr="00B35D4F">
        <w:rPr>
          <w:rFonts w:cs="Times New Roman"/>
          <w:vertAlign w:val="subscript"/>
        </w:rPr>
        <w:t>4</w:t>
      </w:r>
      <w:r w:rsidR="00EB3AE8" w:rsidRPr="00B35D4F">
        <w:rPr>
          <w:rFonts w:cs="Times New Roman"/>
        </w:rPr>
        <w:t>•H</w:t>
      </w:r>
      <w:r w:rsidR="00EB3AE8" w:rsidRPr="00B35D4F">
        <w:rPr>
          <w:rFonts w:cs="Times New Roman"/>
          <w:vertAlign w:val="subscript"/>
        </w:rPr>
        <w:t>2</w:t>
      </w:r>
      <w:r w:rsidR="00EB3AE8" w:rsidRPr="00B35D4F">
        <w:rPr>
          <w:rFonts w:cs="Times New Roman"/>
        </w:rPr>
        <w:t xml:space="preserve">O, 0.01M </w:t>
      </w:r>
      <w:proofErr w:type="spellStart"/>
      <w:r w:rsidR="00EB3AE8" w:rsidRPr="00B35D4F">
        <w:rPr>
          <w:rFonts w:cs="Times New Roman"/>
        </w:rPr>
        <w:t>KCl</w:t>
      </w:r>
      <w:proofErr w:type="spellEnd"/>
      <w:r w:rsidR="00EB3AE8" w:rsidRPr="00B35D4F">
        <w:rPr>
          <w:rFonts w:cs="Times New Roman"/>
        </w:rPr>
        <w:t>, 0.001M MgSO4•7H</w:t>
      </w:r>
      <w:r w:rsidR="00EB3AE8" w:rsidRPr="00B35D4F">
        <w:rPr>
          <w:rFonts w:cs="Times New Roman"/>
          <w:vertAlign w:val="subscript"/>
        </w:rPr>
        <w:t>2</w:t>
      </w:r>
      <w:r w:rsidR="00EB3AE8" w:rsidRPr="00B35D4F">
        <w:rPr>
          <w:rFonts w:cs="Times New Roman"/>
        </w:rPr>
        <w:t>O,</w:t>
      </w:r>
      <w:r w:rsidR="00C87D9E" w:rsidRPr="00B35D4F">
        <w:rPr>
          <w:rFonts w:cs="Times New Roman"/>
        </w:rPr>
        <w:t xml:space="preserve"> </w:t>
      </w:r>
      <w:r w:rsidR="000D4BBF">
        <w:rPr>
          <w:rFonts w:cs="Times New Roman"/>
        </w:rPr>
        <w:t xml:space="preserve">and </w:t>
      </w:r>
      <w:r w:rsidR="00EB3AE8" w:rsidRPr="00B35D4F">
        <w:rPr>
          <w:rFonts w:cs="Times New Roman"/>
        </w:rPr>
        <w:t>0.05M β-</w:t>
      </w:r>
      <w:proofErr w:type="spellStart"/>
      <w:r w:rsidR="00EB3AE8" w:rsidRPr="00B35D4F">
        <w:rPr>
          <w:rFonts w:cs="Times New Roman"/>
        </w:rPr>
        <w:t>mercaptoethanol</w:t>
      </w:r>
      <w:proofErr w:type="spellEnd"/>
      <w:r w:rsidR="00C87D9E" w:rsidRPr="00B35D4F">
        <w:rPr>
          <w:rFonts w:cs="Times New Roman"/>
        </w:rPr>
        <w:t>. SDS is added to a final concentration of 0.0</w:t>
      </w:r>
      <w:r w:rsidR="00B161F9" w:rsidRPr="00B35D4F">
        <w:rPr>
          <w:rFonts w:cs="Times New Roman"/>
        </w:rPr>
        <w:t>0</w:t>
      </w:r>
      <w:r w:rsidR="00C87D9E" w:rsidRPr="00B35D4F">
        <w:rPr>
          <w:rFonts w:cs="Times New Roman"/>
        </w:rPr>
        <w:t>3% and chloroform to a final concentration of 6%</w:t>
      </w:r>
      <w:r w:rsidR="00DA2401">
        <w:rPr>
          <w:rFonts w:cs="Times New Roman"/>
        </w:rPr>
        <w:t xml:space="preserve"> to permeabilize the cells</w:t>
      </w:r>
      <w:r w:rsidR="00C87D9E" w:rsidRPr="00B35D4F">
        <w:rPr>
          <w:rFonts w:cs="Times New Roman"/>
        </w:rPr>
        <w:t xml:space="preserve">. </w:t>
      </w:r>
      <w:r w:rsidR="00581B4B" w:rsidRPr="00B35D4F">
        <w:rPr>
          <w:rFonts w:cs="Times New Roman"/>
        </w:rPr>
        <w:t>The mixtures are</w:t>
      </w:r>
      <w:r w:rsidR="00581B4B">
        <w:t xml:space="preserve"> </w:t>
      </w:r>
      <w:r w:rsidR="000D4BBF">
        <w:t>vortexed</w:t>
      </w:r>
      <w:r w:rsidR="00581B4B">
        <w:t xml:space="preserve">, </w:t>
      </w:r>
      <w:r w:rsidR="000D4BBF">
        <w:t>acclimated to</w:t>
      </w:r>
      <w:r w:rsidR="00581B4B">
        <w:t xml:space="preserve"> a 28</w:t>
      </w:r>
      <w:r w:rsidR="00581B4B">
        <w:rPr>
          <w:rFonts w:cs="Times New Roman"/>
        </w:rPr>
        <w:t>˚</w:t>
      </w:r>
      <w:r w:rsidR="00581B4B">
        <w:t>C</w:t>
      </w:r>
      <w:r w:rsidR="000D4BBF">
        <w:t xml:space="preserve"> water bath</w:t>
      </w:r>
      <w:r w:rsidR="00581B4B">
        <w:t>, then ONPG</w:t>
      </w:r>
      <w:r w:rsidR="003D6E9E">
        <w:t>, an analog of lactose,</w:t>
      </w:r>
      <w:r w:rsidR="00581B4B">
        <w:t xml:space="preserve"> is added to a final concentration of 0.67 mg/mL</w:t>
      </w:r>
      <w:r w:rsidR="00DA2401">
        <w:t xml:space="preserve">, which acts as the substrate which the </w:t>
      </w:r>
      <w:r w:rsidR="00DA2401">
        <w:rPr>
          <w:rFonts w:cs="Times New Roman"/>
        </w:rPr>
        <w:t>β</w:t>
      </w:r>
      <w:r w:rsidR="00DA2401">
        <w:t>-galactosidase</w:t>
      </w:r>
      <w:r w:rsidR="00DA2401">
        <w:t xml:space="preserve"> enzyme breaks down</w:t>
      </w:r>
      <w:r w:rsidR="00581B4B">
        <w:t>.</w:t>
      </w:r>
      <w:r w:rsidR="00DA2401">
        <w:t xml:space="preserve"> One of the products of this enzymatic reaction, o-nitrophenol, produces a yellow color.</w:t>
      </w:r>
      <w:r w:rsidR="00581B4B">
        <w:t xml:space="preserve"> </w:t>
      </w:r>
      <w:r w:rsidR="00B35D4F">
        <w:t>After significant yellow color is produced, the reaction is stopped using 1M Na</w:t>
      </w:r>
      <w:r w:rsidR="00B35D4F" w:rsidRPr="00B35D4F">
        <w:rPr>
          <w:vertAlign w:val="subscript"/>
        </w:rPr>
        <w:t>2</w:t>
      </w:r>
      <w:r w:rsidR="00B35D4F">
        <w:t>CO</w:t>
      </w:r>
      <w:r w:rsidR="00B35D4F" w:rsidRPr="00B35D4F">
        <w:rPr>
          <w:vertAlign w:val="subscript"/>
        </w:rPr>
        <w:t>3</w:t>
      </w:r>
      <w:r w:rsidR="00B35D4F">
        <w:rPr>
          <w:vertAlign w:val="subscript"/>
        </w:rPr>
        <w:t xml:space="preserve"> </w:t>
      </w:r>
      <w:r w:rsidR="00B35D4F">
        <w:t xml:space="preserve">and the </w:t>
      </w:r>
      <w:r w:rsidR="00253968">
        <w:t xml:space="preserve">reaction </w:t>
      </w:r>
      <w:r w:rsidR="00B35D4F">
        <w:t>time is recorded. Each sample is then analyzed via spectrophotometer at A</w:t>
      </w:r>
      <w:r w:rsidR="00B35D4F">
        <w:rPr>
          <w:vertAlign w:val="subscript"/>
        </w:rPr>
        <w:t>420</w:t>
      </w:r>
      <w:r w:rsidR="00B35D4F">
        <w:t xml:space="preserve"> and A</w:t>
      </w:r>
      <w:r w:rsidR="00B35D4F">
        <w:rPr>
          <w:vertAlign w:val="subscript"/>
        </w:rPr>
        <w:t>550</w:t>
      </w:r>
      <w:r w:rsidR="00B35D4F">
        <w:t xml:space="preserve">. Miller units will be calculated using the following equation: Miller </w:t>
      </w:r>
      <w:r w:rsidR="00B35D4F" w:rsidRPr="00746626">
        <w:t xml:space="preserve">Units = 1000 × </w:t>
      </w:r>
      <w:r w:rsidR="00B35D4F">
        <w:t>[(</w:t>
      </w:r>
      <w:r w:rsidR="00B35D4F" w:rsidRPr="00746626">
        <w:t>OD</w:t>
      </w:r>
      <w:r w:rsidR="00B35D4F" w:rsidRPr="00B35D4F">
        <w:rPr>
          <w:vertAlign w:val="subscript"/>
        </w:rPr>
        <w:t>420</w:t>
      </w:r>
      <w:r w:rsidR="00B35D4F" w:rsidRPr="00746626">
        <w:t xml:space="preserve"> – 1.75 × OD</w:t>
      </w:r>
      <w:r w:rsidR="00B35D4F" w:rsidRPr="00B35D4F">
        <w:rPr>
          <w:vertAlign w:val="subscript"/>
        </w:rPr>
        <w:t>550</w:t>
      </w:r>
      <w:r w:rsidR="00B35D4F" w:rsidRPr="00746626">
        <w:t>)</w:t>
      </w:r>
      <w:proofErr w:type="gramStart"/>
      <w:r w:rsidR="00B35D4F" w:rsidRPr="00746626">
        <w:t>/</w:t>
      </w:r>
      <w:r w:rsidR="00B35D4F">
        <w:t>(</w:t>
      </w:r>
      <w:proofErr w:type="gramEnd"/>
      <w:r w:rsidR="00B35D4F" w:rsidRPr="00746626">
        <w:t>t x v × OD</w:t>
      </w:r>
      <w:r w:rsidR="00B35D4F" w:rsidRPr="00B35D4F">
        <w:rPr>
          <w:vertAlign w:val="subscript"/>
        </w:rPr>
        <w:t>600</w:t>
      </w:r>
      <w:r w:rsidR="00B35D4F">
        <w:t>)</w:t>
      </w:r>
      <w:r w:rsidR="00B35D4F" w:rsidRPr="00746626">
        <w:t>]</w:t>
      </w:r>
      <w:r w:rsidR="00B35D4F">
        <w:t>, where t=time of reaction in  minutes and v=volume of culture originally used.</w:t>
      </w:r>
      <w:r w:rsidR="00B35D4F" w:rsidRPr="00B35D4F">
        <w:t xml:space="preserve"> </w:t>
      </w:r>
    </w:p>
    <w:p w14:paraId="457ACE1D" w14:textId="3E046734" w:rsidR="00C2585C" w:rsidRDefault="00C2585C" w:rsidP="006D6360">
      <w:r>
        <w:tab/>
        <w:t xml:space="preserve">If our hypothesis is confirmed by this preliminary experiment, we will further </w:t>
      </w:r>
      <w:r w:rsidR="000E5ED1">
        <w:t>investigate</w:t>
      </w:r>
      <w:r>
        <w:t xml:space="preserve"> what characteristics of </w:t>
      </w:r>
      <w:r w:rsidR="0063089C">
        <w:t xml:space="preserve">the </w:t>
      </w:r>
      <w:r w:rsidR="0063089C" w:rsidRPr="0063089C">
        <w:rPr>
          <w:i/>
          <w:iCs/>
        </w:rPr>
        <w:t>pdpA</w:t>
      </w:r>
      <w:r w:rsidR="0063089C">
        <w:t xml:space="preserve"> 5</w:t>
      </w:r>
      <w:r w:rsidR="003A59AA">
        <w:rPr>
          <w:rFonts w:cs="Times New Roman"/>
        </w:rPr>
        <w:t>´</w:t>
      </w:r>
      <w:r w:rsidR="0063089C">
        <w:t xml:space="preserve">UTR </w:t>
      </w:r>
      <w:r w:rsidR="000E5ED1">
        <w:t>allow for increased translation by</w:t>
      </w:r>
      <w:r w:rsidR="0063089C">
        <w:t xml:space="preserve"> </w:t>
      </w:r>
      <w:r w:rsidR="000E5ED1">
        <w:t xml:space="preserve">ribosomes containing </w:t>
      </w:r>
      <w:r w:rsidR="000E5ED1">
        <w:lastRenderedPageBreak/>
        <w:t>bS21</w:t>
      </w:r>
      <w:r w:rsidR="0063089C">
        <w:t xml:space="preserve">-2. </w:t>
      </w:r>
      <w:r w:rsidR="00046D29">
        <w:t>Using secondary structure prediction software</w:t>
      </w:r>
      <w:r w:rsidR="00987638">
        <w:t xml:space="preserve"> (</w:t>
      </w:r>
      <w:proofErr w:type="spellStart"/>
      <w:r w:rsidR="00987638">
        <w:t>mfold</w:t>
      </w:r>
      <w:proofErr w:type="spellEnd"/>
      <w:r w:rsidR="00987638">
        <w:t>, University of Albany)</w:t>
      </w:r>
      <w:r w:rsidR="00046D29">
        <w:t xml:space="preserve">, we have determined that the 23 nucleotides of the </w:t>
      </w:r>
      <w:r w:rsidR="00046D29">
        <w:rPr>
          <w:i/>
          <w:iCs/>
        </w:rPr>
        <w:t>pdpA</w:t>
      </w:r>
      <w:r w:rsidR="00046D29">
        <w:t xml:space="preserve"> 5</w:t>
      </w:r>
      <w:r w:rsidR="003A59AA">
        <w:rPr>
          <w:rFonts w:cs="Times New Roman"/>
        </w:rPr>
        <w:t>´</w:t>
      </w:r>
      <w:r w:rsidR="00046D29">
        <w:t xml:space="preserve">UTR </w:t>
      </w:r>
      <w:r w:rsidR="00EE58D6">
        <w:t xml:space="preserve">may </w:t>
      </w:r>
      <w:r w:rsidR="00046D29">
        <w:t xml:space="preserve">form a stem-loop. We will mutate nucleotides </w:t>
      </w:r>
      <w:r w:rsidR="003F239C">
        <w:t xml:space="preserve">to disrupt this structure </w:t>
      </w:r>
      <w:r w:rsidR="00104584">
        <w:t>(</w:t>
      </w:r>
      <w:r w:rsidR="000A21B5">
        <w:t>see Table X</w:t>
      </w:r>
      <w:r w:rsidR="00104584">
        <w:t xml:space="preserve">). </w:t>
      </w:r>
      <w:r w:rsidR="00A94090">
        <w:t xml:space="preserve">This alteration will be made </w:t>
      </w:r>
      <w:r w:rsidR="003F239C">
        <w:t xml:space="preserve">in a new reporter vector, </w:t>
      </w:r>
      <w:r w:rsidR="00AB2F8E">
        <w:t>such that</w:t>
      </w:r>
      <w:r w:rsidR="00A94090">
        <w:t xml:space="preserve"> we </w:t>
      </w:r>
      <w:r w:rsidR="00AB2F8E">
        <w:t xml:space="preserve">can </w:t>
      </w:r>
      <w:r w:rsidR="003F239C">
        <w:t xml:space="preserve">repeat the </w:t>
      </w:r>
      <w:r w:rsidR="003F239C">
        <w:rPr>
          <w:rFonts w:cs="Times New Roman"/>
        </w:rPr>
        <w:t>β</w:t>
      </w:r>
      <w:r w:rsidR="003F239C">
        <w:t xml:space="preserve">-galactosidase assays. We </w:t>
      </w:r>
      <w:r w:rsidR="00EE58D6">
        <w:t xml:space="preserve">hypothesize </w:t>
      </w:r>
      <w:r w:rsidR="003F239C">
        <w:t xml:space="preserve">that without the stem-loop, we will see no difference in </w:t>
      </w:r>
      <w:r w:rsidR="003F239C">
        <w:rPr>
          <w:rFonts w:cs="Times New Roman"/>
        </w:rPr>
        <w:t>β</w:t>
      </w:r>
      <w:r w:rsidR="003F239C">
        <w:t xml:space="preserve">-galactosidase expression between cells with bS21-2 and those lacking it. </w:t>
      </w:r>
      <w:r w:rsidR="00104584">
        <w:t>Additionally, we can determine if this is sequence-specific or structure-specific, by making complementary mut</w:t>
      </w:r>
      <w:r w:rsidR="00B13C47">
        <w:t>a</w:t>
      </w:r>
      <w:r w:rsidR="00104584">
        <w:t>tion</w:t>
      </w:r>
      <w:r w:rsidR="000A21B5">
        <w:t>s</w:t>
      </w:r>
      <w:r w:rsidR="00B13C47">
        <w:t xml:space="preserve"> (</w:t>
      </w:r>
      <w:r w:rsidR="000A21B5">
        <w:t>see Table 1</w:t>
      </w:r>
      <w:r w:rsidR="00B13C47">
        <w:t>) to restore the stem-loop structure.</w:t>
      </w:r>
      <w:r w:rsidR="0024001E">
        <w:t xml:space="preserve"> If we see a return to the original results of the </w:t>
      </w:r>
      <w:r w:rsidR="0024001E">
        <w:rPr>
          <w:rFonts w:cs="Times New Roman"/>
        </w:rPr>
        <w:t>β</w:t>
      </w:r>
      <w:r w:rsidR="0024001E">
        <w:t>-galactosidase assays, it will strongly suggest that the stem-loop structure is essential for the recognition of the 5</w:t>
      </w:r>
      <w:r w:rsidR="003A59AA">
        <w:rPr>
          <w:rFonts w:cs="Times New Roman"/>
        </w:rPr>
        <w:t>´</w:t>
      </w:r>
      <w:r w:rsidR="0024001E">
        <w:t>UTR by bS21-2.</w:t>
      </w:r>
      <w:r w:rsidR="00C40E78">
        <w:t xml:space="preserve"> If we do not see what we expect in these assays, it would imply that there </w:t>
      </w:r>
      <w:r w:rsidR="00854860">
        <w:t xml:space="preserve">is another mechanism by which the ribosome is recognizing distinct mRNA species, </w:t>
      </w:r>
      <w:commentRangeStart w:id="2"/>
      <w:r w:rsidR="00854860">
        <w:t>and this will require further investigation.</w:t>
      </w:r>
      <w:commentRangeEnd w:id="2"/>
      <w:r w:rsidR="00854860">
        <w:rPr>
          <w:rStyle w:val="CommentReference"/>
          <w:rFonts w:asciiTheme="minorHAnsi" w:hAnsiTheme="minorHAnsi"/>
        </w:rPr>
        <w:commentReference w:id="2"/>
      </w:r>
    </w:p>
    <w:p w14:paraId="5E8B4320" w14:textId="77777777" w:rsidR="000A21B5" w:rsidRPr="00953E86" w:rsidRDefault="000A21B5" w:rsidP="000A21B5">
      <w:r>
        <w:t xml:space="preserve">Table 1: Proposed mutations to 5’ UTR of </w:t>
      </w:r>
      <w:r>
        <w:rPr>
          <w:i/>
          <w:iCs/>
        </w:rPr>
        <w:t>pdpA</w:t>
      </w:r>
      <w:r>
        <w:t xml:space="preserve"> and effects on predicted mRNA secondary structure</w:t>
      </w:r>
    </w:p>
    <w:tbl>
      <w:tblPr>
        <w:tblStyle w:val="TableGrid"/>
        <w:tblW w:w="0" w:type="auto"/>
        <w:jc w:val="center"/>
        <w:tblLook w:val="04A0" w:firstRow="1" w:lastRow="0" w:firstColumn="1" w:lastColumn="0" w:noHBand="0" w:noVBand="1"/>
      </w:tblPr>
      <w:tblGrid>
        <w:gridCol w:w="2155"/>
        <w:gridCol w:w="2639"/>
        <w:gridCol w:w="3935"/>
      </w:tblGrid>
      <w:tr w:rsidR="000A21B5" w14:paraId="4C51C267" w14:textId="77777777" w:rsidTr="001469A7">
        <w:trPr>
          <w:jc w:val="center"/>
        </w:trPr>
        <w:tc>
          <w:tcPr>
            <w:tcW w:w="2155" w:type="dxa"/>
            <w:vAlign w:val="center"/>
          </w:tcPr>
          <w:p w14:paraId="1F9B144B" w14:textId="77777777" w:rsidR="000A21B5" w:rsidRDefault="000A21B5" w:rsidP="001469A7">
            <w:pPr>
              <w:spacing w:line="240" w:lineRule="auto"/>
              <w:jc w:val="center"/>
            </w:pPr>
            <w:r>
              <w:t>Mutations</w:t>
            </w:r>
          </w:p>
        </w:tc>
        <w:tc>
          <w:tcPr>
            <w:tcW w:w="2639" w:type="dxa"/>
            <w:vAlign w:val="center"/>
          </w:tcPr>
          <w:p w14:paraId="1B6649C7" w14:textId="77777777" w:rsidR="000A21B5" w:rsidRDefault="000A21B5" w:rsidP="001469A7">
            <w:pPr>
              <w:spacing w:line="240" w:lineRule="auto"/>
              <w:jc w:val="center"/>
            </w:pPr>
            <w:r>
              <w:t>Sequence</w:t>
            </w:r>
          </w:p>
        </w:tc>
        <w:tc>
          <w:tcPr>
            <w:tcW w:w="3935" w:type="dxa"/>
            <w:vAlign w:val="center"/>
          </w:tcPr>
          <w:p w14:paraId="3E292A8A" w14:textId="77777777" w:rsidR="000A21B5" w:rsidRDefault="000A21B5" w:rsidP="001469A7">
            <w:pPr>
              <w:spacing w:line="240" w:lineRule="auto"/>
              <w:jc w:val="center"/>
            </w:pPr>
            <w:r>
              <w:t>Predicted Secondary Structure</w:t>
            </w:r>
          </w:p>
        </w:tc>
      </w:tr>
      <w:tr w:rsidR="000A21B5" w14:paraId="4D8869B7" w14:textId="77777777" w:rsidTr="001469A7">
        <w:trPr>
          <w:jc w:val="center"/>
        </w:trPr>
        <w:tc>
          <w:tcPr>
            <w:tcW w:w="2155" w:type="dxa"/>
            <w:vAlign w:val="center"/>
          </w:tcPr>
          <w:p w14:paraId="779BD430" w14:textId="77777777" w:rsidR="000A21B5" w:rsidRDefault="000A21B5" w:rsidP="001469A7">
            <w:pPr>
              <w:spacing w:line="240" w:lineRule="auto"/>
              <w:jc w:val="center"/>
            </w:pPr>
            <w:r>
              <w:t>None (wild-type)</w:t>
            </w:r>
          </w:p>
        </w:tc>
        <w:tc>
          <w:tcPr>
            <w:tcW w:w="2639" w:type="dxa"/>
            <w:vAlign w:val="center"/>
          </w:tcPr>
          <w:p w14:paraId="30282F6C" w14:textId="77777777" w:rsidR="000A21B5" w:rsidRDefault="000A21B5" w:rsidP="001469A7">
            <w:pPr>
              <w:spacing w:line="240" w:lineRule="auto"/>
              <w:jc w:val="center"/>
            </w:pPr>
            <w:proofErr w:type="spellStart"/>
            <w:r w:rsidRPr="00B2250A">
              <w:t>gttatgttctaattaagtagaca</w:t>
            </w:r>
            <w:proofErr w:type="spellEnd"/>
          </w:p>
        </w:tc>
        <w:tc>
          <w:tcPr>
            <w:tcW w:w="3935" w:type="dxa"/>
            <w:vAlign w:val="center"/>
          </w:tcPr>
          <w:p w14:paraId="10B010FD" w14:textId="77777777" w:rsidR="000A21B5" w:rsidRDefault="000A21B5" w:rsidP="001469A7">
            <w:pPr>
              <w:spacing w:line="240" w:lineRule="auto"/>
              <w:jc w:val="center"/>
            </w:pPr>
            <w:r>
              <w:rPr>
                <w:noProof/>
              </w:rPr>
              <w:drawing>
                <wp:inline distT="0" distB="0" distL="0" distR="0" wp14:anchorId="0E6457D7" wp14:editId="3A8A9D23">
                  <wp:extent cx="1104223" cy="1420837"/>
                  <wp:effectExtent l="0" t="0" r="127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919" b="677"/>
                          <a:stretch/>
                        </pic:blipFill>
                        <pic:spPr bwMode="auto">
                          <a:xfrm>
                            <a:off x="0" y="0"/>
                            <a:ext cx="1107408" cy="142493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0A21B5" w14:paraId="75B51F3D" w14:textId="77777777" w:rsidTr="001469A7">
        <w:trPr>
          <w:jc w:val="center"/>
        </w:trPr>
        <w:tc>
          <w:tcPr>
            <w:tcW w:w="2155" w:type="dxa"/>
            <w:vAlign w:val="center"/>
          </w:tcPr>
          <w:p w14:paraId="054C66FA" w14:textId="77777777" w:rsidR="000A21B5" w:rsidRDefault="000A21B5" w:rsidP="001469A7">
            <w:pPr>
              <w:spacing w:line="240" w:lineRule="auto"/>
              <w:jc w:val="center"/>
            </w:pPr>
            <w:r>
              <w:t>A19C</w:t>
            </w:r>
          </w:p>
          <w:p w14:paraId="5F1741F6" w14:textId="77777777" w:rsidR="000A21B5" w:rsidRDefault="000A21B5" w:rsidP="001469A7">
            <w:pPr>
              <w:spacing w:line="240" w:lineRule="auto"/>
              <w:jc w:val="center"/>
            </w:pPr>
            <w:r>
              <w:t>G20T</w:t>
            </w:r>
          </w:p>
        </w:tc>
        <w:tc>
          <w:tcPr>
            <w:tcW w:w="2639" w:type="dxa"/>
            <w:vAlign w:val="center"/>
          </w:tcPr>
          <w:p w14:paraId="1A4A5C9A" w14:textId="77777777" w:rsidR="000A21B5" w:rsidRDefault="000A21B5" w:rsidP="001469A7">
            <w:pPr>
              <w:spacing w:line="240" w:lineRule="auto"/>
              <w:jc w:val="center"/>
            </w:pPr>
            <w:proofErr w:type="spellStart"/>
            <w:r w:rsidRPr="00A257E9">
              <w:t>g</w:t>
            </w:r>
            <w:r>
              <w:t>tt</w:t>
            </w:r>
            <w:r w:rsidRPr="00A257E9">
              <w:t>a</w:t>
            </w:r>
            <w:r>
              <w:t>t</w:t>
            </w:r>
            <w:r w:rsidRPr="00A257E9">
              <w:t>g</w:t>
            </w:r>
            <w:r>
              <w:t>tt</w:t>
            </w:r>
            <w:r w:rsidRPr="00A257E9">
              <w:t>c</w:t>
            </w:r>
            <w:r>
              <w:t>t</w:t>
            </w:r>
            <w:r w:rsidRPr="00A257E9">
              <w:t>aa</w:t>
            </w:r>
            <w:r>
              <w:t>tt</w:t>
            </w:r>
            <w:r w:rsidRPr="00A257E9">
              <w:t>aag</w:t>
            </w:r>
            <w:r>
              <w:t>tCT</w:t>
            </w:r>
            <w:r w:rsidRPr="00A257E9">
              <w:t>aca</w:t>
            </w:r>
            <w:proofErr w:type="spellEnd"/>
          </w:p>
        </w:tc>
        <w:tc>
          <w:tcPr>
            <w:tcW w:w="3935" w:type="dxa"/>
            <w:vAlign w:val="center"/>
          </w:tcPr>
          <w:p w14:paraId="31CF3871" w14:textId="77777777" w:rsidR="000A21B5" w:rsidRDefault="000A21B5" w:rsidP="001469A7">
            <w:pPr>
              <w:spacing w:line="240" w:lineRule="auto"/>
              <w:jc w:val="center"/>
            </w:pPr>
            <w:r>
              <w:rPr>
                <w:noProof/>
              </w:rPr>
              <w:drawing>
                <wp:inline distT="0" distB="0" distL="0" distR="0" wp14:anchorId="72BB0CDF" wp14:editId="0CE9B9F5">
                  <wp:extent cx="1169888" cy="1350498"/>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6436" b="5281"/>
                          <a:stretch/>
                        </pic:blipFill>
                        <pic:spPr bwMode="auto">
                          <a:xfrm>
                            <a:off x="0" y="0"/>
                            <a:ext cx="1170432" cy="135112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0A21B5" w14:paraId="25CB96C9" w14:textId="77777777" w:rsidTr="001469A7">
        <w:trPr>
          <w:jc w:val="center"/>
        </w:trPr>
        <w:tc>
          <w:tcPr>
            <w:tcW w:w="2155" w:type="dxa"/>
            <w:vAlign w:val="center"/>
          </w:tcPr>
          <w:p w14:paraId="407C5F58" w14:textId="77777777" w:rsidR="000A21B5" w:rsidRDefault="000A21B5" w:rsidP="001469A7">
            <w:pPr>
              <w:spacing w:line="240" w:lineRule="auto"/>
              <w:jc w:val="center"/>
            </w:pPr>
            <w:r>
              <w:lastRenderedPageBreak/>
              <w:t>A19C</w:t>
            </w:r>
          </w:p>
          <w:p w14:paraId="7E629A4B" w14:textId="77777777" w:rsidR="000A21B5" w:rsidRDefault="000A21B5" w:rsidP="001469A7">
            <w:pPr>
              <w:spacing w:line="240" w:lineRule="auto"/>
              <w:jc w:val="center"/>
            </w:pPr>
            <w:r>
              <w:t>G20T</w:t>
            </w:r>
          </w:p>
          <w:p w14:paraId="27C61B98" w14:textId="77777777" w:rsidR="000A21B5" w:rsidRDefault="000A21B5" w:rsidP="001469A7">
            <w:pPr>
              <w:spacing w:line="240" w:lineRule="auto"/>
              <w:jc w:val="center"/>
            </w:pPr>
            <w:r>
              <w:t>T8G</w:t>
            </w:r>
          </w:p>
          <w:p w14:paraId="761D62DE" w14:textId="77777777" w:rsidR="000A21B5" w:rsidRDefault="000A21B5" w:rsidP="001469A7">
            <w:pPr>
              <w:spacing w:line="240" w:lineRule="auto"/>
              <w:jc w:val="center"/>
            </w:pPr>
            <w:r>
              <w:t>C9A</w:t>
            </w:r>
          </w:p>
          <w:p w14:paraId="6066D7E1" w14:textId="77777777" w:rsidR="000A21B5" w:rsidRDefault="000A21B5" w:rsidP="001469A7">
            <w:pPr>
              <w:spacing w:line="240" w:lineRule="auto"/>
              <w:jc w:val="center"/>
            </w:pPr>
          </w:p>
        </w:tc>
        <w:tc>
          <w:tcPr>
            <w:tcW w:w="2639" w:type="dxa"/>
            <w:vAlign w:val="center"/>
          </w:tcPr>
          <w:p w14:paraId="6474CF0B" w14:textId="77777777" w:rsidR="000A21B5" w:rsidRDefault="000A21B5" w:rsidP="001469A7">
            <w:pPr>
              <w:spacing w:line="240" w:lineRule="auto"/>
              <w:jc w:val="center"/>
            </w:pPr>
            <w:proofErr w:type="spellStart"/>
            <w:r w:rsidRPr="00A257E9">
              <w:t>g</w:t>
            </w:r>
            <w:r>
              <w:t>tt</w:t>
            </w:r>
            <w:r w:rsidRPr="00A257E9">
              <w:t>a</w:t>
            </w:r>
            <w:r>
              <w:t>t</w:t>
            </w:r>
            <w:r w:rsidRPr="00A257E9">
              <w:t>g</w:t>
            </w:r>
            <w:r>
              <w:t>tGAt</w:t>
            </w:r>
            <w:r w:rsidRPr="00A257E9">
              <w:t>aa</w:t>
            </w:r>
            <w:r>
              <w:t>tt</w:t>
            </w:r>
            <w:r w:rsidRPr="00A257E9">
              <w:t>aag</w:t>
            </w:r>
            <w:r>
              <w:t>tCT</w:t>
            </w:r>
            <w:r w:rsidRPr="00A257E9">
              <w:t>aca</w:t>
            </w:r>
            <w:proofErr w:type="spellEnd"/>
          </w:p>
        </w:tc>
        <w:tc>
          <w:tcPr>
            <w:tcW w:w="3935" w:type="dxa"/>
            <w:vAlign w:val="center"/>
          </w:tcPr>
          <w:p w14:paraId="7037BFF2" w14:textId="77777777" w:rsidR="000A21B5" w:rsidRDefault="000A21B5" w:rsidP="001469A7">
            <w:pPr>
              <w:spacing w:line="240" w:lineRule="auto"/>
              <w:jc w:val="center"/>
            </w:pPr>
            <w:r>
              <w:rPr>
                <w:noProof/>
              </w:rPr>
              <w:drawing>
                <wp:inline distT="0" distB="0" distL="0" distR="0" wp14:anchorId="7D8F91B0" wp14:editId="07D51B28">
                  <wp:extent cx="1170305" cy="1502138"/>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839" b="-1"/>
                          <a:stretch/>
                        </pic:blipFill>
                        <pic:spPr bwMode="auto">
                          <a:xfrm>
                            <a:off x="0" y="0"/>
                            <a:ext cx="1170305" cy="150213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0D2B589" w14:textId="77777777" w:rsidR="000A21B5" w:rsidRDefault="000A21B5" w:rsidP="00A866B8">
      <w:pPr>
        <w:pStyle w:val="Heading3"/>
      </w:pPr>
    </w:p>
    <w:p w14:paraId="05BBFD0B" w14:textId="486BF63F" w:rsidR="00A866B8" w:rsidRDefault="00A866B8" w:rsidP="00A866B8">
      <w:pPr>
        <w:pStyle w:val="Heading3"/>
      </w:pPr>
      <w:r>
        <w:t>3.1.3</w:t>
      </w:r>
      <w:r w:rsidR="00CA2CFE">
        <w:t xml:space="preserve">. </w:t>
      </w:r>
      <w:r w:rsidR="00A70BB3" w:rsidRPr="00A70BB3">
        <w:rPr>
          <w:i w:val="0"/>
          <w:iCs/>
        </w:rPr>
        <w:t>In</w:t>
      </w:r>
      <w:r w:rsidR="00EE58D6">
        <w:rPr>
          <w:i w:val="0"/>
          <w:iCs/>
        </w:rPr>
        <w:t xml:space="preserve"> </w:t>
      </w:r>
      <w:r w:rsidR="00A70BB3" w:rsidRPr="00A70BB3">
        <w:rPr>
          <w:i w:val="0"/>
          <w:iCs/>
        </w:rPr>
        <w:t>vitro</w:t>
      </w:r>
      <w:r w:rsidR="00A70BB3">
        <w:t xml:space="preserve"> translation assays</w:t>
      </w:r>
    </w:p>
    <w:p w14:paraId="2E6A02C2" w14:textId="3D6DB02E" w:rsidR="00BD041A" w:rsidRPr="00E74B71" w:rsidRDefault="00A70BB3" w:rsidP="00222E90">
      <w:pPr>
        <w:spacing w:before="240"/>
      </w:pPr>
      <w:r>
        <w:tab/>
        <w:t xml:space="preserve">In order to determine if other </w:t>
      </w:r>
      <w:r w:rsidR="00EE58D6" w:rsidRPr="00854860">
        <w:rPr>
          <w:i/>
          <w:iCs/>
        </w:rPr>
        <w:t>F. tularensis</w:t>
      </w:r>
      <w:r w:rsidR="00EE58D6">
        <w:t>-specific proteins</w:t>
      </w:r>
      <w:r>
        <w:t xml:space="preserve"> are necessary to facilitate the interaction between bS21-2 and the </w:t>
      </w:r>
      <w:r>
        <w:rPr>
          <w:i/>
          <w:iCs/>
        </w:rPr>
        <w:t>pdpA</w:t>
      </w:r>
      <w:r>
        <w:t xml:space="preserve"> mRNA</w:t>
      </w:r>
      <w:r w:rsidR="002F4C6D">
        <w:t>, w</w:t>
      </w:r>
      <w:r>
        <w:t xml:space="preserve">e will use the </w:t>
      </w:r>
      <w:proofErr w:type="spellStart"/>
      <w:r w:rsidRPr="00A70BB3">
        <w:t>PURExpress</w:t>
      </w:r>
      <w:proofErr w:type="spellEnd"/>
      <w:r w:rsidRPr="00A70BB3">
        <w:t>® Δ Ribosome Kit</w:t>
      </w:r>
      <w:r>
        <w:t xml:space="preserve"> from </w:t>
      </w:r>
      <w:r w:rsidRPr="00A70BB3">
        <w:t>NEB</w:t>
      </w:r>
      <w:r w:rsidR="00AE2255">
        <w:t xml:space="preserve">, which contains tRNAs, initiation factors, elongation factors, and all other components necessary for translation. This kit lacks ribosomes, so we will be able to </w:t>
      </w:r>
      <w:r w:rsidR="00EE58D6">
        <w:t>perform</w:t>
      </w:r>
      <w:r w:rsidR="00AE2255">
        <w:t xml:space="preserve"> this experiment with ribosomes with </w:t>
      </w:r>
      <w:r w:rsidR="00EE58D6">
        <w:t xml:space="preserve">and without </w:t>
      </w:r>
      <w:r w:rsidR="00AE2255">
        <w:t xml:space="preserve">bS21-2. </w:t>
      </w:r>
      <w:r w:rsidR="00AF4928">
        <w:t xml:space="preserve">First, we will isolate ribosomes using a protocol adapted from </w:t>
      </w:r>
      <w:proofErr w:type="spellStart"/>
      <w:r w:rsidR="00BD041A">
        <w:t>Moazed</w:t>
      </w:r>
      <w:proofErr w:type="spellEnd"/>
      <w:r w:rsidR="00BD041A">
        <w:t xml:space="preserve"> and </w:t>
      </w:r>
      <w:proofErr w:type="spellStart"/>
      <w:r w:rsidR="00BD041A">
        <w:t>Noller</w:t>
      </w:r>
      <w:proofErr w:type="spellEnd"/>
      <w:r w:rsidR="00BD041A">
        <w:t xml:space="preserve"> (1989).</w:t>
      </w:r>
      <w:r w:rsidR="00AE2255">
        <w:t xml:space="preserve"> </w:t>
      </w:r>
      <w:r w:rsidR="00882677">
        <w:rPr>
          <w:i/>
          <w:iCs/>
        </w:rPr>
        <w:t>F. tularensis</w:t>
      </w:r>
      <w:r w:rsidR="00882677">
        <w:t xml:space="preserve"> will be grown to mid-log in </w:t>
      </w:r>
      <w:r w:rsidR="000A21B5">
        <w:t xml:space="preserve">supplemented </w:t>
      </w:r>
      <w:r w:rsidR="00882677">
        <w:t xml:space="preserve">Mueller-Hinton </w:t>
      </w:r>
      <w:r w:rsidR="00EE58D6">
        <w:t>broth</w:t>
      </w:r>
      <w:r w:rsidR="00882677">
        <w:t>, shaking aerobically</w:t>
      </w:r>
      <w:r w:rsidR="002F4C6D">
        <w:t xml:space="preserve"> at 37</w:t>
      </w:r>
      <w:r w:rsidR="002F4C6D">
        <w:rPr>
          <w:rFonts w:cs="Times New Roman"/>
        </w:rPr>
        <w:t>˚</w:t>
      </w:r>
      <w:r w:rsidR="002F4C6D">
        <w:t>C</w:t>
      </w:r>
      <w:r w:rsidR="00882677">
        <w:t>. The cells are pelleted at 4</w:t>
      </w:r>
      <w:r w:rsidR="00882677">
        <w:rPr>
          <w:rFonts w:cs="Times New Roman"/>
        </w:rPr>
        <w:t>˚</w:t>
      </w:r>
      <w:r w:rsidR="00882677">
        <w:t xml:space="preserve">C, then washed twice with </w:t>
      </w:r>
      <w:r w:rsidR="00EE58D6">
        <w:t>lysis</w:t>
      </w:r>
      <w:r w:rsidR="00882677">
        <w:t xml:space="preserve"> buffer</w:t>
      </w:r>
      <w:r w:rsidR="00EE58D6">
        <w:t>, consisting of</w:t>
      </w:r>
      <w:r w:rsidR="00882677">
        <w:t xml:space="preserve"> </w:t>
      </w:r>
      <w:proofErr w:type="spellStart"/>
      <w:r w:rsidR="00882677">
        <w:t>of</w:t>
      </w:r>
      <w:proofErr w:type="spellEnd"/>
      <w:r w:rsidR="00882677">
        <w:t xml:space="preserve"> 10 mM </w:t>
      </w:r>
      <w:r w:rsidR="00EE58D6">
        <w:t xml:space="preserve">HEPES </w:t>
      </w:r>
      <w:r w:rsidR="00882677">
        <w:t>KOH pH</w:t>
      </w:r>
      <w:r w:rsidR="00EE58D6">
        <w:t xml:space="preserve"> </w:t>
      </w:r>
      <w:r w:rsidR="00882677">
        <w:t>7.6, 10 mM MgCl</w:t>
      </w:r>
      <w:r w:rsidR="00882677" w:rsidRPr="00882677">
        <w:rPr>
          <w:vertAlign w:val="subscript"/>
        </w:rPr>
        <w:t>2</w:t>
      </w:r>
      <w:r w:rsidR="00882677">
        <w:t>, and 50 mM NH</w:t>
      </w:r>
      <w:r w:rsidR="00882677" w:rsidRPr="00882677">
        <w:rPr>
          <w:vertAlign w:val="subscript"/>
        </w:rPr>
        <w:t>4</w:t>
      </w:r>
      <w:r w:rsidR="00882677">
        <w:t xml:space="preserve">Cl </w:t>
      </w:r>
      <w:r w:rsidR="00222E90">
        <w:t>(H</w:t>
      </w:r>
      <w:r w:rsidR="00222E90" w:rsidRPr="00222E90">
        <w:rPr>
          <w:vertAlign w:val="superscript"/>
        </w:rPr>
        <w:t>10</w:t>
      </w:r>
      <w:r w:rsidR="00222E90">
        <w:t>M</w:t>
      </w:r>
      <w:r w:rsidR="00222E90" w:rsidRPr="00222E90">
        <w:rPr>
          <w:vertAlign w:val="superscript"/>
        </w:rPr>
        <w:t>10</w:t>
      </w:r>
      <w:r w:rsidR="00222E90">
        <w:t>A</w:t>
      </w:r>
      <w:r w:rsidR="00222E90" w:rsidRPr="00222E90">
        <w:rPr>
          <w:vertAlign w:val="superscript"/>
        </w:rPr>
        <w:t>50</w:t>
      </w:r>
      <w:r w:rsidR="00222E90">
        <w:t>)</w:t>
      </w:r>
      <w:r w:rsidR="00EE58D6">
        <w:t>,</w:t>
      </w:r>
      <w:r w:rsidR="00222E90">
        <w:t xml:space="preserve"> </w:t>
      </w:r>
      <w:r w:rsidR="00882677">
        <w:t>and resuspended in the same buffer</w:t>
      </w:r>
      <w:r w:rsidR="00A36310">
        <w:t xml:space="preserve"> with</w:t>
      </w:r>
      <w:r w:rsidR="00882677">
        <w:t xml:space="preserve"> 20 U DNase I. Cells are next lysed by passing through a French Press three times</w:t>
      </w:r>
      <w:r w:rsidR="00A36310">
        <w:t xml:space="preserve"> at approximately </w:t>
      </w:r>
      <w:r w:rsidR="00882677">
        <w:t>800 psi. The lysate is spun in an ultracentrifuge for 15 minutes (4</w:t>
      </w:r>
      <w:r w:rsidR="00882677">
        <w:rPr>
          <w:rFonts w:cs="Times New Roman"/>
        </w:rPr>
        <w:t>˚</w:t>
      </w:r>
      <w:r w:rsidR="00882677">
        <w:t xml:space="preserve">C, </w:t>
      </w:r>
      <w:r w:rsidR="002F5668">
        <w:t>8</w:t>
      </w:r>
      <w:r w:rsidR="00882677">
        <w:t xml:space="preserve">0,000 </w:t>
      </w:r>
      <w:r w:rsidR="002F5668">
        <w:t>x g</w:t>
      </w:r>
      <w:r w:rsidR="00854860">
        <w:t>)</w:t>
      </w:r>
      <w:r w:rsidR="00180BC2">
        <w:t xml:space="preserve"> </w:t>
      </w:r>
      <w:r w:rsidR="00EE58D6">
        <w:t>to remove c</w:t>
      </w:r>
      <w:r w:rsidR="00882677">
        <w:t>ell debris</w:t>
      </w:r>
      <w:r w:rsidR="00EE58D6">
        <w:t>. We will layer the</w:t>
      </w:r>
      <w:r w:rsidR="00882677">
        <w:t xml:space="preserve"> on top of a sucrose cushion</w:t>
      </w:r>
      <w:r w:rsidR="00EE58D6">
        <w:t>,</w:t>
      </w:r>
      <w:r w:rsidR="00882677">
        <w:t xml:space="preserve"> comprised of 10 mM </w:t>
      </w:r>
      <w:r w:rsidR="00EE58D6">
        <w:t xml:space="preserve">HEPES </w:t>
      </w:r>
      <w:r w:rsidR="00882677">
        <w:t>KOH pH</w:t>
      </w:r>
      <w:r w:rsidR="00EE58D6">
        <w:t xml:space="preserve"> </w:t>
      </w:r>
      <w:r w:rsidR="00882677">
        <w:t>7.6, 10 mM MgCl</w:t>
      </w:r>
      <w:r w:rsidR="00882677" w:rsidRPr="00882677">
        <w:rPr>
          <w:vertAlign w:val="subscript"/>
        </w:rPr>
        <w:t>2</w:t>
      </w:r>
      <w:r w:rsidR="00882677">
        <w:t>, 500 mM NH</w:t>
      </w:r>
      <w:r w:rsidR="00882677" w:rsidRPr="00882677">
        <w:rPr>
          <w:vertAlign w:val="subscript"/>
        </w:rPr>
        <w:t>4</w:t>
      </w:r>
      <w:r w:rsidR="00882677">
        <w:t>Cl, with 20% sucrose. This is then spun again in the ultracentrifuge for 4 hours (4</w:t>
      </w:r>
      <w:r w:rsidR="00882677">
        <w:rPr>
          <w:rFonts w:cs="Times New Roman"/>
        </w:rPr>
        <w:t>˚</w:t>
      </w:r>
      <w:r w:rsidR="00882677">
        <w:t xml:space="preserve">C, </w:t>
      </w:r>
      <w:r w:rsidR="002F5668">
        <w:t>146</w:t>
      </w:r>
      <w:r w:rsidR="00882677">
        <w:t xml:space="preserve">,000 </w:t>
      </w:r>
      <w:r w:rsidR="002F5668">
        <w:t>x g</w:t>
      </w:r>
      <w:r w:rsidR="00882677">
        <w:t xml:space="preserve">). The pellet is washed twice </w:t>
      </w:r>
      <w:r w:rsidR="00EE58D6">
        <w:t xml:space="preserve">and resuspended </w:t>
      </w:r>
      <w:r w:rsidR="00882677">
        <w:t xml:space="preserve">in </w:t>
      </w:r>
      <w:r w:rsidR="00EE58D6">
        <w:t>the H</w:t>
      </w:r>
      <w:r w:rsidR="00EE58D6" w:rsidRPr="00222E90">
        <w:rPr>
          <w:vertAlign w:val="superscript"/>
        </w:rPr>
        <w:t>10</w:t>
      </w:r>
      <w:r w:rsidR="00EE58D6">
        <w:t>M</w:t>
      </w:r>
      <w:r w:rsidR="00EE58D6" w:rsidRPr="00222E90">
        <w:rPr>
          <w:vertAlign w:val="superscript"/>
        </w:rPr>
        <w:t>10</w:t>
      </w:r>
      <w:r w:rsidR="00EE58D6">
        <w:t>A</w:t>
      </w:r>
      <w:r w:rsidR="00EE58D6" w:rsidRPr="00222E90">
        <w:rPr>
          <w:vertAlign w:val="superscript"/>
        </w:rPr>
        <w:t>5</w:t>
      </w:r>
      <w:r w:rsidR="00EE58D6">
        <w:rPr>
          <w:vertAlign w:val="superscript"/>
        </w:rPr>
        <w:t>0</w:t>
      </w:r>
      <w:r w:rsidR="00EE58D6">
        <w:t xml:space="preserve"> lysis </w:t>
      </w:r>
      <w:r w:rsidR="00882677">
        <w:t>buffer. This is layered onto another sucrose cushion</w:t>
      </w:r>
      <w:r w:rsidR="00882677" w:rsidRPr="00882677">
        <w:t xml:space="preserve"> </w:t>
      </w:r>
      <w:r w:rsidR="00882677">
        <w:t xml:space="preserve">of 10 mM </w:t>
      </w:r>
      <w:r w:rsidR="00EE58D6">
        <w:t xml:space="preserve">HEPES </w:t>
      </w:r>
      <w:r w:rsidR="00882677">
        <w:t>KOH pH</w:t>
      </w:r>
      <w:r w:rsidR="00EE58D6">
        <w:t xml:space="preserve"> </w:t>
      </w:r>
      <w:r w:rsidR="00882677">
        <w:t>7.6, 10 mM MgCl</w:t>
      </w:r>
      <w:r w:rsidR="00882677" w:rsidRPr="00882677">
        <w:rPr>
          <w:vertAlign w:val="subscript"/>
        </w:rPr>
        <w:t>2</w:t>
      </w:r>
      <w:r w:rsidR="00882677">
        <w:t>, 50 mM NH</w:t>
      </w:r>
      <w:r w:rsidR="00882677" w:rsidRPr="00882677">
        <w:rPr>
          <w:vertAlign w:val="subscript"/>
        </w:rPr>
        <w:t>4</w:t>
      </w:r>
      <w:r w:rsidR="00882677">
        <w:t>Cl, with 40% sucrose and spun for 14 hours (4</w:t>
      </w:r>
      <w:r w:rsidR="00882677">
        <w:rPr>
          <w:rFonts w:cs="Times New Roman"/>
        </w:rPr>
        <w:t>˚</w:t>
      </w:r>
      <w:r w:rsidR="00882677">
        <w:t xml:space="preserve">C, </w:t>
      </w:r>
      <w:r w:rsidR="002F5668">
        <w:t>146,000 x g</w:t>
      </w:r>
      <w:r w:rsidR="00882677">
        <w:t xml:space="preserve">). </w:t>
      </w:r>
      <w:r w:rsidR="00222E90">
        <w:t xml:space="preserve">The </w:t>
      </w:r>
      <w:r w:rsidR="00EE58D6">
        <w:t xml:space="preserve">purified ribosomes are </w:t>
      </w:r>
      <w:r w:rsidR="00326052">
        <w:t>resuspended</w:t>
      </w:r>
      <w:r w:rsidR="00222E90">
        <w:t xml:space="preserve"> in </w:t>
      </w:r>
      <w:commentRangeStart w:id="3"/>
      <w:commentRangeStart w:id="4"/>
      <w:r w:rsidR="00E74B71">
        <w:t>H</w:t>
      </w:r>
      <w:r w:rsidR="00E74B71" w:rsidRPr="00222E90">
        <w:rPr>
          <w:vertAlign w:val="superscript"/>
        </w:rPr>
        <w:t>10</w:t>
      </w:r>
      <w:r w:rsidR="00E74B71">
        <w:t>M</w:t>
      </w:r>
      <w:r w:rsidR="00E74B71" w:rsidRPr="00222E90">
        <w:rPr>
          <w:vertAlign w:val="superscript"/>
        </w:rPr>
        <w:t>10</w:t>
      </w:r>
      <w:r w:rsidR="00E74B71">
        <w:t>A</w:t>
      </w:r>
      <w:r w:rsidR="00E74B71" w:rsidRPr="00222E90">
        <w:rPr>
          <w:vertAlign w:val="superscript"/>
        </w:rPr>
        <w:t>50</w:t>
      </w:r>
      <w:commentRangeEnd w:id="3"/>
      <w:r w:rsidR="00EE58D6">
        <w:rPr>
          <w:rStyle w:val="CommentReference"/>
          <w:rFonts w:asciiTheme="minorHAnsi" w:hAnsiTheme="minorHAnsi"/>
        </w:rPr>
        <w:commentReference w:id="3"/>
      </w:r>
      <w:commentRangeEnd w:id="4"/>
      <w:r w:rsidR="00823CD2">
        <w:rPr>
          <w:rStyle w:val="CommentReference"/>
          <w:rFonts w:asciiTheme="minorHAnsi" w:hAnsiTheme="minorHAnsi"/>
        </w:rPr>
        <w:commentReference w:id="4"/>
      </w:r>
      <w:r w:rsidR="00326052">
        <w:t xml:space="preserve"> and aliquots are made</w:t>
      </w:r>
      <w:r w:rsidR="00B32876">
        <w:t xml:space="preserve"> and stored at -80</w:t>
      </w:r>
      <w:r w:rsidR="00B32876">
        <w:rPr>
          <w:rFonts w:cs="Times New Roman"/>
        </w:rPr>
        <w:t>˚</w:t>
      </w:r>
      <w:r w:rsidR="00B32876">
        <w:t>C</w:t>
      </w:r>
      <w:r w:rsidR="00326052">
        <w:t>.</w:t>
      </w:r>
    </w:p>
    <w:p w14:paraId="06A94344" w14:textId="5C5E9FB0" w:rsidR="00A70BB3" w:rsidRDefault="009D69CB" w:rsidP="00BD041A">
      <w:pPr>
        <w:ind w:firstLine="720"/>
      </w:pPr>
      <w:r>
        <w:lastRenderedPageBreak/>
        <w:t>Ribosome p</w:t>
      </w:r>
      <w:r w:rsidR="00BD041A">
        <w:t>urification will be done on strains that</w:t>
      </w:r>
      <w:r w:rsidR="00AE2255">
        <w:t xml:space="preserve"> contain only one of the bS21 homologs, so we</w:t>
      </w:r>
      <w:r>
        <w:t xml:space="preserve"> will</w:t>
      </w:r>
      <w:r w:rsidR="00AE2255">
        <w:t xml:space="preserve"> </w:t>
      </w:r>
      <w:r w:rsidR="00E236CA">
        <w:t>isolate</w:t>
      </w:r>
      <w:r w:rsidR="00AE2255">
        <w:t xml:space="preserve"> ribosomes from</w:t>
      </w:r>
      <w:r w:rsidR="00EE58D6">
        <w:t xml:space="preserve"> cells lacking</w:t>
      </w:r>
      <w:r w:rsidR="00AE2255">
        <w:t xml:space="preserve"> </w:t>
      </w:r>
      <w:r w:rsidR="00AE2255">
        <w:rPr>
          <w:i/>
          <w:iCs/>
        </w:rPr>
        <w:t xml:space="preserve">rpsU1 </w:t>
      </w:r>
      <w:r w:rsidR="00EE58D6">
        <w:t xml:space="preserve">and </w:t>
      </w:r>
      <w:r w:rsidR="00AE2255">
        <w:rPr>
          <w:i/>
          <w:iCs/>
        </w:rPr>
        <w:t xml:space="preserve">rpsU3 </w:t>
      </w:r>
      <w:r w:rsidR="00AE2255">
        <w:t>(</w:t>
      </w:r>
      <w:r w:rsidR="00EE58D6">
        <w:t xml:space="preserve">which </w:t>
      </w:r>
      <w:r w:rsidR="00AE2255">
        <w:t>contain only bS21-2)</w:t>
      </w:r>
      <w:r>
        <w:t xml:space="preserve">, </w:t>
      </w:r>
      <w:r w:rsidR="00B64EB2">
        <w:rPr>
          <w:i/>
          <w:iCs/>
        </w:rPr>
        <w:t xml:space="preserve">rpsU1 </w:t>
      </w:r>
      <w:r w:rsidR="00EE58D6">
        <w:rPr>
          <w:rFonts w:ascii="Calibri" w:hAnsi="Calibri" w:cs="Calibri"/>
        </w:rPr>
        <w:t xml:space="preserve">and </w:t>
      </w:r>
      <w:r w:rsidR="00B64EB2">
        <w:rPr>
          <w:i/>
          <w:iCs/>
        </w:rPr>
        <w:t xml:space="preserve">rpsU2 </w:t>
      </w:r>
      <w:r w:rsidR="00B64EB2">
        <w:t>(</w:t>
      </w:r>
      <w:r w:rsidR="00EE58D6">
        <w:t xml:space="preserve">which </w:t>
      </w:r>
      <w:r w:rsidR="00B64EB2">
        <w:t>contain only bS21-3)</w:t>
      </w:r>
      <w:r>
        <w:t>,</w:t>
      </w:r>
      <w:r w:rsidR="00B64EB2">
        <w:t xml:space="preserve"> and </w:t>
      </w:r>
      <w:r w:rsidR="00B64EB2">
        <w:rPr>
          <w:i/>
          <w:iCs/>
        </w:rPr>
        <w:t xml:space="preserve">rpsU2 </w:t>
      </w:r>
      <w:r w:rsidR="00EE58D6">
        <w:rPr>
          <w:rFonts w:ascii="Calibri" w:hAnsi="Calibri" w:cs="Calibri"/>
        </w:rPr>
        <w:t xml:space="preserve">and </w:t>
      </w:r>
      <w:r w:rsidR="00B64EB2">
        <w:rPr>
          <w:i/>
          <w:iCs/>
        </w:rPr>
        <w:t xml:space="preserve">rpsU3 </w:t>
      </w:r>
      <w:r w:rsidR="00B64EB2">
        <w:t>(</w:t>
      </w:r>
      <w:r w:rsidR="00EE58D6">
        <w:t xml:space="preserve">which </w:t>
      </w:r>
      <w:r w:rsidR="00B64EB2">
        <w:t xml:space="preserve">contain only bS21-1). </w:t>
      </w:r>
      <w:r>
        <w:t xml:space="preserve">These will then be used in the </w:t>
      </w:r>
      <w:proofErr w:type="spellStart"/>
      <w:r w:rsidRPr="00A70BB3">
        <w:t>PURExpress</w:t>
      </w:r>
      <w:proofErr w:type="spellEnd"/>
      <w:r w:rsidRPr="00A70BB3">
        <w:t>® Δ Ribosome Kit</w:t>
      </w:r>
      <w:r>
        <w:t>, along with</w:t>
      </w:r>
      <w:r w:rsidR="001C546C">
        <w:t xml:space="preserve"> the </w:t>
      </w:r>
      <w:commentRangeStart w:id="5"/>
      <w:r w:rsidR="001C546C">
        <w:t xml:space="preserve">previously constructed vector </w:t>
      </w:r>
      <w:r w:rsidR="00A74233">
        <w:t xml:space="preserve">with </w:t>
      </w:r>
      <w:r w:rsidR="00A74233" w:rsidRPr="00A74233">
        <w:rPr>
          <w:i/>
          <w:iCs/>
        </w:rPr>
        <w:t>pdpA</w:t>
      </w:r>
      <w:commentRangeEnd w:id="5"/>
      <w:r w:rsidR="00886129">
        <w:rPr>
          <w:rStyle w:val="CommentReference"/>
          <w:rFonts w:asciiTheme="minorHAnsi" w:hAnsiTheme="minorHAnsi"/>
        </w:rPr>
        <w:commentReference w:id="5"/>
      </w:r>
      <w:r>
        <w:t>.</w:t>
      </w:r>
      <w:r w:rsidR="00A74233">
        <w:t xml:space="preserve"> </w:t>
      </w:r>
      <w:r>
        <w:t>W</w:t>
      </w:r>
      <w:r w:rsidR="00A74233">
        <w:t>e</w:t>
      </w:r>
      <w:r w:rsidR="00715F41">
        <w:t xml:space="preserve"> </w:t>
      </w:r>
      <w:r>
        <w:t>will then</w:t>
      </w:r>
      <w:r w:rsidR="00715F41">
        <w:t xml:space="preserve"> compare translation of </w:t>
      </w:r>
      <w:r w:rsidR="00715F41">
        <w:rPr>
          <w:i/>
          <w:iCs/>
        </w:rPr>
        <w:t>pdpA</w:t>
      </w:r>
      <w:r w:rsidR="00715F41">
        <w:t xml:space="preserve"> to a control gene</w:t>
      </w:r>
      <w:r w:rsidR="00001211">
        <w:t xml:space="preserve"> unaffected bS21-2</w:t>
      </w:r>
      <w:r w:rsidR="00715F41">
        <w:t>,</w:t>
      </w:r>
      <w:r w:rsidR="00FB1403">
        <w:t xml:space="preserve"> </w:t>
      </w:r>
      <w:proofErr w:type="spellStart"/>
      <w:r w:rsidR="00FB1403" w:rsidRPr="00FB1403">
        <w:rPr>
          <w:i/>
          <w:iCs/>
        </w:rPr>
        <w:t>bfr</w:t>
      </w:r>
      <w:proofErr w:type="spellEnd"/>
      <w:r w:rsidR="00FB1403">
        <w:rPr>
          <w:i/>
          <w:iCs/>
        </w:rPr>
        <w:t xml:space="preserve">, </w:t>
      </w:r>
      <w:r w:rsidR="00886129" w:rsidRPr="00B32876">
        <w:t>(as described above</w:t>
      </w:r>
      <w:r w:rsidR="00886129">
        <w:t>)</w:t>
      </w:r>
      <w:r w:rsidR="00886129" w:rsidRPr="00B32876">
        <w:t>.</w:t>
      </w:r>
      <w:r w:rsidR="00886129">
        <w:rPr>
          <w:i/>
          <w:iCs/>
        </w:rPr>
        <w:t xml:space="preserve"> </w:t>
      </w:r>
      <w:r w:rsidR="00001211">
        <w:t>The analysis will be conducted using immunoblotting</w:t>
      </w:r>
      <w:r>
        <w:t xml:space="preserve"> </w:t>
      </w:r>
      <w:r w:rsidR="00FB1403">
        <w:t xml:space="preserve">with antibodies </w:t>
      </w:r>
      <w:r w:rsidR="00886129">
        <w:t xml:space="preserve">specific to each </w:t>
      </w:r>
      <w:proofErr w:type="gramStart"/>
      <w:r w:rsidR="00FB1403">
        <w:t>proteins</w:t>
      </w:r>
      <w:proofErr w:type="gramEnd"/>
      <w:r w:rsidR="00001211">
        <w:t xml:space="preserve">. We expect to see more PdpA produced when using bS21-2 ribosomes than with the other sets of ribosomes. </w:t>
      </w:r>
      <w:commentRangeStart w:id="6"/>
      <w:r w:rsidR="00001211">
        <w:t xml:space="preserve">If this is not the case, we can then repeat these experiments under alternate conditions to determine other factors that may be affecting </w:t>
      </w:r>
      <w:r w:rsidR="00001211">
        <w:rPr>
          <w:i/>
          <w:iCs/>
        </w:rPr>
        <w:t>pdpA</w:t>
      </w:r>
      <w:r w:rsidR="00001211">
        <w:t xml:space="preserve"> translation, such as </w:t>
      </w:r>
      <w:r w:rsidR="00C8084C">
        <w:t xml:space="preserve">including </w:t>
      </w:r>
      <w:r w:rsidR="00001211">
        <w:t>RNA-binding proteins that may stabilize the transcript.</w:t>
      </w:r>
      <w:r w:rsidR="00E665BF">
        <w:t xml:space="preserve"> Overall, these sets of experiments should provide significant insights into the mechanism that bS21-2 uses to regulate gene expression at the level of translation</w:t>
      </w:r>
      <w:commentRangeEnd w:id="6"/>
      <w:r w:rsidR="00886129">
        <w:rPr>
          <w:rStyle w:val="CommentReference"/>
          <w:rFonts w:asciiTheme="minorHAnsi" w:hAnsiTheme="minorHAnsi"/>
        </w:rPr>
        <w:commentReference w:id="6"/>
      </w:r>
      <w:r w:rsidR="00E665BF">
        <w:t>.</w:t>
      </w:r>
    </w:p>
    <w:p w14:paraId="3520FC7A" w14:textId="4D82B07B" w:rsidR="00612A09" w:rsidRDefault="00612A09" w:rsidP="00BD041A">
      <w:pPr>
        <w:ind w:firstLine="720"/>
      </w:pPr>
    </w:p>
    <w:p w14:paraId="442162AD" w14:textId="77777777" w:rsidR="00612A09" w:rsidRDefault="00612A09" w:rsidP="00612A09">
      <w:pPr>
        <w:pStyle w:val="Heading2"/>
      </w:pPr>
      <w:r>
        <w:t xml:space="preserve">3.2. Aim 2: Does bS1 play a role in daptomycin- and vancomycin-sensitivity of </w:t>
      </w:r>
      <w:r>
        <w:rPr>
          <w:i/>
          <w:iCs/>
        </w:rPr>
        <w:t xml:space="preserve">Staphylococcus aureus </w:t>
      </w:r>
      <w:r>
        <w:t>through alterations in cell wall structure?</w:t>
      </w:r>
    </w:p>
    <w:p w14:paraId="4FD360B0" w14:textId="77777777" w:rsidR="00612A09" w:rsidRDefault="00612A09" w:rsidP="00612A09">
      <w:pPr>
        <w:pStyle w:val="Heading3"/>
      </w:pPr>
      <w:r>
        <w:t>3.2.1. Rationale</w:t>
      </w:r>
    </w:p>
    <w:p w14:paraId="7B31119B" w14:textId="77777777" w:rsidR="00612A09" w:rsidRPr="009E4BD0" w:rsidRDefault="00612A09" w:rsidP="00612A09">
      <w:pPr>
        <w:ind w:firstLine="720"/>
      </w:pPr>
      <w:r>
        <w:t xml:space="preserve">Clinical isolates with mutations in the single </w:t>
      </w:r>
      <w:proofErr w:type="spellStart"/>
      <w:r>
        <w:rPr>
          <w:i/>
          <w:iCs/>
        </w:rPr>
        <w:t>rpsU</w:t>
      </w:r>
      <w:proofErr w:type="spellEnd"/>
      <w:r>
        <w:t xml:space="preserve"> gene of </w:t>
      </w:r>
      <w:r w:rsidRPr="00ED175C">
        <w:rPr>
          <w:i/>
          <w:iCs/>
        </w:rPr>
        <w:t>S. aureus</w:t>
      </w:r>
      <w:r>
        <w:t xml:space="preserve">, as well as transposon insertions into this gene, have been correlated </w:t>
      </w:r>
      <w:r w:rsidRPr="007670C7">
        <w:t>with</w:t>
      </w:r>
      <w:r>
        <w:t xml:space="preserve"> reduced susceptibility to daptomycin and vancomycin, two cell wall-targeting antibiotics (</w:t>
      </w:r>
      <w:proofErr w:type="spellStart"/>
      <w:r>
        <w:t>Basco</w:t>
      </w:r>
      <w:proofErr w:type="spellEnd"/>
      <w:r>
        <w:t xml:space="preserve"> </w:t>
      </w:r>
      <w:proofErr w:type="spellStart"/>
      <w:r>
        <w:t>kathari</w:t>
      </w:r>
      <w:proofErr w:type="spellEnd"/>
      <w:r>
        <w:t xml:space="preserve">, </w:t>
      </w:r>
      <w:proofErr w:type="spellStart"/>
      <w:r>
        <w:t>friedman</w:t>
      </w:r>
      <w:proofErr w:type="spellEnd"/>
      <w:r>
        <w:t xml:space="preserve"> alder, Blake </w:t>
      </w:r>
      <w:proofErr w:type="spellStart"/>
      <w:r>
        <w:t>oneill</w:t>
      </w:r>
      <w:proofErr w:type="spellEnd"/>
      <w:r>
        <w:t>). It has also been shown that cells with increased resistance to vancomycin have thickened cell walls (Cui et al 2006). This leads us to question whether bS21 plays a role in regulating expression of cell wall proteins, thereby affecting cell wall size and antibiotic-</w:t>
      </w:r>
      <w:r>
        <w:lastRenderedPageBreak/>
        <w:t xml:space="preserve">sensitivity. The following experiments will attempt to answer this, by deleting </w:t>
      </w:r>
      <w:proofErr w:type="spellStart"/>
      <w:r w:rsidRPr="009E4BD0">
        <w:rPr>
          <w:i/>
          <w:iCs/>
        </w:rPr>
        <w:t>rpsU</w:t>
      </w:r>
      <w:proofErr w:type="spellEnd"/>
      <w:r>
        <w:t xml:space="preserve"> in </w:t>
      </w:r>
      <w:r>
        <w:rPr>
          <w:i/>
          <w:iCs/>
        </w:rPr>
        <w:t xml:space="preserve">S. aureus, </w:t>
      </w:r>
      <w:r>
        <w:t>confirming alterations in antibiotic-sensitivity, and determining cell-wall thickness in this strain.</w:t>
      </w:r>
    </w:p>
    <w:p w14:paraId="247D6710" w14:textId="77777777" w:rsidR="00612A09" w:rsidRPr="009049B4" w:rsidRDefault="00612A09" w:rsidP="00612A09">
      <w:pPr>
        <w:pStyle w:val="Heading3"/>
      </w:pPr>
      <w:r>
        <w:t xml:space="preserve">3.3.2. Deletion of </w:t>
      </w:r>
      <w:proofErr w:type="spellStart"/>
      <w:r>
        <w:rPr>
          <w:i w:val="0"/>
          <w:iCs/>
        </w:rPr>
        <w:t>rpsU</w:t>
      </w:r>
      <w:proofErr w:type="spellEnd"/>
    </w:p>
    <w:p w14:paraId="79E79F1C" w14:textId="77777777" w:rsidR="00612A09" w:rsidRDefault="00612A09" w:rsidP="00612A09">
      <w:r>
        <w:tab/>
        <w:t xml:space="preserve">We will first want to confirm the previously observed phenotype of vancomycin- and daptomycin-resistance by creating a clean deletion of </w:t>
      </w:r>
      <w:proofErr w:type="spellStart"/>
      <w:r>
        <w:rPr>
          <w:i/>
          <w:iCs/>
        </w:rPr>
        <w:t>rpsU</w:t>
      </w:r>
      <w:proofErr w:type="spellEnd"/>
      <w:r>
        <w:t xml:space="preserve"> in </w:t>
      </w:r>
      <w:r>
        <w:rPr>
          <w:i/>
          <w:iCs/>
        </w:rPr>
        <w:t xml:space="preserve">S. aureus. </w:t>
      </w:r>
      <w:r>
        <w:t xml:space="preserve">To do so, we will follow a protocol outlined in Kato and </w:t>
      </w:r>
      <w:proofErr w:type="spellStart"/>
      <w:r>
        <w:t>Sugai</w:t>
      </w:r>
      <w:proofErr w:type="spellEnd"/>
      <w:r>
        <w:t xml:space="preserve"> (2011). First, a plasmid will be constructed with approximately 600-base pairs upstream of the </w:t>
      </w:r>
      <w:proofErr w:type="spellStart"/>
      <w:r>
        <w:rPr>
          <w:i/>
          <w:iCs/>
        </w:rPr>
        <w:t>rpsU</w:t>
      </w:r>
      <w:proofErr w:type="spellEnd"/>
      <w:r>
        <w:t xml:space="preserve"> gene fused to 600-base pairs downstream of the </w:t>
      </w:r>
      <w:proofErr w:type="spellStart"/>
      <w:r>
        <w:rPr>
          <w:i/>
          <w:iCs/>
        </w:rPr>
        <w:t>rpsU</w:t>
      </w:r>
      <w:proofErr w:type="spellEnd"/>
      <w:r>
        <w:t xml:space="preserve"> gene. These fragments will be generated using PCR, digested with </w:t>
      </w:r>
      <w:proofErr w:type="spellStart"/>
      <w:r>
        <w:t>SalI</w:t>
      </w:r>
      <w:proofErr w:type="spellEnd"/>
      <w:r>
        <w:t xml:space="preserve"> and </w:t>
      </w:r>
      <w:proofErr w:type="spellStart"/>
      <w:r>
        <w:t>BamHI</w:t>
      </w:r>
      <w:proofErr w:type="spellEnd"/>
      <w:r>
        <w:t xml:space="preserve"> (NEB), and ligated into a similarly digested </w:t>
      </w:r>
      <w:proofErr w:type="spellStart"/>
      <w:r>
        <w:t>pKFT</w:t>
      </w:r>
      <w:proofErr w:type="spellEnd"/>
      <w:r>
        <w:t xml:space="preserve"> backbone. The backbone of the vector contains, in addition to a multiple cloning site, a fragment of </w:t>
      </w:r>
      <w:r>
        <w:rPr>
          <w:i/>
          <w:iCs/>
        </w:rPr>
        <w:t>lacZ</w:t>
      </w:r>
      <w:r>
        <w:t xml:space="preserve">, </w:t>
      </w:r>
      <w:proofErr w:type="spellStart"/>
      <w:r w:rsidRPr="00D53752">
        <w:rPr>
          <w:i/>
          <w:iCs/>
        </w:rPr>
        <w:t>ampR</w:t>
      </w:r>
      <w:proofErr w:type="spellEnd"/>
      <w:r w:rsidRPr="00D53752">
        <w:rPr>
          <w:i/>
          <w:iCs/>
        </w:rPr>
        <w:t xml:space="preserve">, </w:t>
      </w:r>
      <w:proofErr w:type="spellStart"/>
      <w:r w:rsidRPr="00D53752">
        <w:rPr>
          <w:i/>
          <w:iCs/>
        </w:rPr>
        <w:t>tetL</w:t>
      </w:r>
      <w:proofErr w:type="spellEnd"/>
      <w:r>
        <w:t>, a constitutive origin, and a temperature-sensitive origin. These markers will be crucial for selecting for colonies that contain the plasmid integration.</w:t>
      </w:r>
    </w:p>
    <w:p w14:paraId="45CFEE42" w14:textId="77777777" w:rsidR="00612A09" w:rsidRPr="00CB5A5F" w:rsidRDefault="00612A09" w:rsidP="00612A09">
      <w:r>
        <w:tab/>
        <w:t xml:space="preserve">Once the vector has been generated, it will be transformed into </w:t>
      </w:r>
      <w:r>
        <w:rPr>
          <w:i/>
          <w:iCs/>
        </w:rPr>
        <w:t>S. aureus</w:t>
      </w:r>
      <w:r>
        <w:t xml:space="preserve"> RN4220 </w:t>
      </w:r>
      <w:r w:rsidRPr="00117B96">
        <w:rPr>
          <w:highlight w:val="yellow"/>
        </w:rPr>
        <w:t>(or E. coli xl-1 blue?)</w:t>
      </w:r>
      <w:r>
        <w:t xml:space="preserve"> and grown at 30</w:t>
      </w:r>
      <w:r>
        <w:rPr>
          <w:rFonts w:cs="Times New Roman"/>
        </w:rPr>
        <w:t>˚</w:t>
      </w:r>
      <w:r>
        <w:t xml:space="preserve">C on trypticase soy agar (TSA) plates with 3 </w:t>
      </w:r>
      <w:proofErr w:type="spellStart"/>
      <w:r>
        <w:rPr>
          <w:rFonts w:cs="Times New Roman"/>
        </w:rPr>
        <w:t>μ</w:t>
      </w:r>
      <w:r>
        <w:t>g</w:t>
      </w:r>
      <w:proofErr w:type="spellEnd"/>
      <w:r>
        <w:t>/mL of tetracycline for selection. Colonies will then be inoculated in 3 mL TSB with tetracycline and grown overnight at 30</w:t>
      </w:r>
      <w:r>
        <w:rPr>
          <w:rFonts w:cs="Times New Roman"/>
        </w:rPr>
        <w:t>˚</w:t>
      </w:r>
      <w:r>
        <w:t xml:space="preserve">C, shaking. The plasmid will be isolated using the </w:t>
      </w:r>
      <w:proofErr w:type="spellStart"/>
      <w:r>
        <w:t>QIAgen</w:t>
      </w:r>
      <w:proofErr w:type="spellEnd"/>
      <w:r>
        <w:t xml:space="preserve"> miniprep kit, and the contents of the plasmid will be confirmed via sequencing. Once confirmed, the plasmid will then be electroporated into </w:t>
      </w:r>
      <w:r>
        <w:rPr>
          <w:i/>
          <w:iCs/>
        </w:rPr>
        <w:t xml:space="preserve">S. aureus </w:t>
      </w:r>
      <w:r w:rsidRPr="00E35CDD">
        <w:rPr>
          <w:highlight w:val="yellow"/>
        </w:rPr>
        <w:t>HG003</w:t>
      </w:r>
      <w:r>
        <w:t xml:space="preserve"> </w:t>
      </w:r>
      <w:r w:rsidRPr="00C33CEC">
        <w:rPr>
          <w:rFonts w:cs="Times New Roman"/>
        </w:rPr>
        <w:t xml:space="preserve">using the following settings in a 2mm cuvette: </w:t>
      </w:r>
      <w:r w:rsidRPr="00006789">
        <w:rPr>
          <w:rFonts w:cs="Times New Roman"/>
        </w:rPr>
        <w:t xml:space="preserve">2.5 kV, 25 </w:t>
      </w:r>
      <w:proofErr w:type="spellStart"/>
      <w:r w:rsidRPr="00006789">
        <w:rPr>
          <w:rFonts w:cs="Times New Roman"/>
        </w:rPr>
        <w:t>μF</w:t>
      </w:r>
      <w:proofErr w:type="spellEnd"/>
      <w:r w:rsidRPr="00006789">
        <w:rPr>
          <w:rFonts w:cs="Times New Roman"/>
        </w:rPr>
        <w:t>, and 600 Ω</w:t>
      </w:r>
      <w:r>
        <w:rPr>
          <w:rFonts w:cs="Times New Roman"/>
        </w:rPr>
        <w:t xml:space="preserve"> </w:t>
      </w:r>
      <w:r w:rsidRPr="00006789">
        <w:rPr>
          <w:rFonts w:cs="Times New Roman"/>
          <w:highlight w:val="yellow"/>
        </w:rPr>
        <w:t>(this is our standard protocol but they didn’t publish the settings they used from this Staph aureus paper)</w:t>
      </w:r>
      <w:r w:rsidRPr="00006789">
        <w:rPr>
          <w:highlight w:val="yellow"/>
        </w:rPr>
        <w:t>.</w:t>
      </w:r>
      <w:r>
        <w:t xml:space="preserve"> The cells will be incubated at 42</w:t>
      </w:r>
      <w:r>
        <w:rPr>
          <w:rFonts w:cs="Times New Roman"/>
        </w:rPr>
        <w:t>˚</w:t>
      </w:r>
      <w:r>
        <w:t>C on TSB plates with tetracycline, as this temperature is non-permissive and will lead to display of the tetracycline-resistance phenotype</w:t>
      </w:r>
      <w:r>
        <w:rPr>
          <w:i/>
          <w:iCs/>
        </w:rPr>
        <w:t>.</w:t>
      </w:r>
      <w:r>
        <w:t xml:space="preserve"> Colony PCR will be used to confirm that the plasmid integrated into the correct location, using primers located outside of the </w:t>
      </w:r>
      <w:proofErr w:type="spellStart"/>
      <w:r>
        <w:rPr>
          <w:i/>
          <w:iCs/>
        </w:rPr>
        <w:t>rpsU</w:t>
      </w:r>
      <w:proofErr w:type="spellEnd"/>
      <w:r>
        <w:t xml:space="preserve"> gene. Primary integrants will be </w:t>
      </w:r>
      <w:r>
        <w:lastRenderedPageBreak/>
        <w:t>grown shaking overnight at 25</w:t>
      </w:r>
      <w:r>
        <w:rPr>
          <w:rFonts w:cs="Times New Roman"/>
        </w:rPr>
        <w:t>˚</w:t>
      </w:r>
      <w:r>
        <w:t>C in TSB (no antibiotics), then sub-cultured into fresh TSB and grown up at 25</w:t>
      </w:r>
      <w:r>
        <w:rPr>
          <w:rFonts w:cs="Times New Roman"/>
        </w:rPr>
        <w:t>˚</w:t>
      </w:r>
      <w:r>
        <w:t xml:space="preserve">C again. This will facilitate crossing-out of the plasmid from the </w:t>
      </w:r>
      <w:r>
        <w:rPr>
          <w:i/>
          <w:iCs/>
        </w:rPr>
        <w:t xml:space="preserve">S. aureus </w:t>
      </w:r>
      <w:r>
        <w:t xml:space="preserve">genome. Cells will be plated both on TSB plates and TSB plates with tetracycline. Tet-sensitive colonies will be screened using PCR to confirm the deletion of </w:t>
      </w:r>
      <w:proofErr w:type="spellStart"/>
      <w:r>
        <w:rPr>
          <w:i/>
          <w:iCs/>
        </w:rPr>
        <w:t>rpsU</w:t>
      </w:r>
      <w:proofErr w:type="spellEnd"/>
      <w:r>
        <w:t xml:space="preserve"> and removal of the plasmid. The strain will then be sequenced at the Rhode Island Genomics and Sequencing Center for further confirmation and stored in TSB with 15% glycerol at -80</w:t>
      </w:r>
      <w:r>
        <w:rPr>
          <w:rFonts w:cs="Times New Roman"/>
        </w:rPr>
        <w:t>˚</w:t>
      </w:r>
      <w:r>
        <w:t>C.</w:t>
      </w:r>
    </w:p>
    <w:p w14:paraId="54F421D5" w14:textId="77777777" w:rsidR="00612A09" w:rsidRDefault="00612A09" w:rsidP="00612A09">
      <w:pPr>
        <w:pStyle w:val="Heading3"/>
      </w:pPr>
      <w:r>
        <w:t xml:space="preserve">3.3.3. Population analysis of </w:t>
      </w:r>
      <w:r>
        <w:rPr>
          <w:i w:val="0"/>
          <w:iCs/>
        </w:rPr>
        <w:t xml:space="preserve">S. aureus </w:t>
      </w:r>
      <w:r>
        <w:t xml:space="preserve">antibiotic-resistance </w:t>
      </w:r>
    </w:p>
    <w:p w14:paraId="34C2C9A3" w14:textId="77777777" w:rsidR="00612A09" w:rsidRPr="00B70DD4" w:rsidRDefault="00612A09" w:rsidP="00612A09">
      <w:r>
        <w:tab/>
        <w:t xml:space="preserve">In order to confirm that alterations in vancomycin- and daptomycin-sensitivity are related to loss of bS21, we will use the </w:t>
      </w:r>
      <w:proofErr w:type="spellStart"/>
      <w:r w:rsidRPr="00885E5C">
        <w:rPr>
          <w:rFonts w:ascii="Calibri" w:hAnsi="Calibri" w:cs="Calibri"/>
          <w:i/>
          <w:iCs/>
        </w:rPr>
        <w:t>Δ</w:t>
      </w:r>
      <w:r w:rsidRPr="00885E5C">
        <w:rPr>
          <w:i/>
          <w:iCs/>
        </w:rPr>
        <w:t>rpsU</w:t>
      </w:r>
      <w:proofErr w:type="spellEnd"/>
      <w:r>
        <w:t xml:space="preserve"> strain to test susceptibility of the bacteria to each of these antibiotics. Using a protocol adapted from </w:t>
      </w:r>
      <w:proofErr w:type="spellStart"/>
      <w:r>
        <w:t>Hanaki</w:t>
      </w:r>
      <w:proofErr w:type="spellEnd"/>
      <w:r>
        <w:t xml:space="preserve"> and </w:t>
      </w:r>
      <w:proofErr w:type="spellStart"/>
      <w:r>
        <w:t>Hiramatsu</w:t>
      </w:r>
      <w:proofErr w:type="spellEnd"/>
      <w:r>
        <w:t xml:space="preserve"> (2001), we will first grow our wild-type and </w:t>
      </w:r>
      <w:proofErr w:type="spellStart"/>
      <w:r w:rsidRPr="00885E5C">
        <w:rPr>
          <w:rFonts w:ascii="Calibri" w:hAnsi="Calibri" w:cs="Calibri"/>
          <w:i/>
          <w:iCs/>
        </w:rPr>
        <w:t>Δ</w:t>
      </w:r>
      <w:r w:rsidRPr="00885E5C">
        <w:rPr>
          <w:i/>
          <w:iCs/>
        </w:rPr>
        <w:t>rpsU</w:t>
      </w:r>
      <w:proofErr w:type="spellEnd"/>
      <w:r>
        <w:t xml:space="preserve"> strains in TSB at 37</w:t>
      </w:r>
      <w:r>
        <w:rPr>
          <w:rFonts w:cs="Times New Roman"/>
        </w:rPr>
        <w:t>˚</w:t>
      </w:r>
      <w:r>
        <w:t>C, shaking overnight. The OD</w:t>
      </w:r>
      <w:r>
        <w:rPr>
          <w:vertAlign w:val="subscript"/>
        </w:rPr>
        <w:t>578</w:t>
      </w:r>
      <w:r>
        <w:t xml:space="preserve"> </w:t>
      </w:r>
      <w:r w:rsidRPr="00F53078">
        <w:rPr>
          <w:highlight w:val="yellow"/>
        </w:rPr>
        <w:t>(do you know why not 600?)</w:t>
      </w:r>
      <w:r>
        <w:t xml:space="preserve"> will be normalized to 0.3 to assure all plates start with the same number of colony-forming units (CFUs, approximately 10</w:t>
      </w:r>
      <w:r>
        <w:rPr>
          <w:vertAlign w:val="superscript"/>
        </w:rPr>
        <w:t>8</w:t>
      </w:r>
      <w:r>
        <w:t>). The cells will then be serially-diluted six times 1:10 in TSB, such that the lowest concentration will have approximately 10</w:t>
      </w:r>
      <w:r>
        <w:rPr>
          <w:vertAlign w:val="superscript"/>
        </w:rPr>
        <w:t>2</w:t>
      </w:r>
      <w:r>
        <w:t xml:space="preserve"> CFUs. Brain heart infusion (BHI) plates will be prepared with 1:2 serial-dilutions of each antibiotic. For vancomycin, the published minimum inhibitory concentration (MIC) of clinical isolates of MRSA</w:t>
      </w:r>
      <w:r>
        <w:rPr>
          <w:i/>
          <w:iCs/>
        </w:rPr>
        <w:t xml:space="preserve"> </w:t>
      </w:r>
      <w:r>
        <w:t>was approximately 0.625 </w:t>
      </w:r>
      <w:proofErr w:type="spellStart"/>
      <w:r>
        <w:rPr>
          <w:rFonts w:cs="Times New Roman"/>
        </w:rPr>
        <w:t>μ</w:t>
      </w:r>
      <w:r>
        <w:t>g</w:t>
      </w:r>
      <w:proofErr w:type="spellEnd"/>
      <w:r>
        <w:t xml:space="preserve">/mL, while the daptomycin MIC ranged from 0.156 to 0.219 </w:t>
      </w:r>
      <w:proofErr w:type="spellStart"/>
      <w:r>
        <w:rPr>
          <w:rFonts w:cs="Times New Roman"/>
        </w:rPr>
        <w:t>μ</w:t>
      </w:r>
      <w:r>
        <w:t>g</w:t>
      </w:r>
      <w:proofErr w:type="spellEnd"/>
      <w:r>
        <w:t>/mL (</w:t>
      </w:r>
      <w:proofErr w:type="spellStart"/>
      <w:r>
        <w:t>Sader</w:t>
      </w:r>
      <w:proofErr w:type="spellEnd"/>
      <w:r>
        <w:t xml:space="preserve"> et al). Therefore, we will prepare 8 serial dilutions starting at 10 </w:t>
      </w:r>
      <w:proofErr w:type="spellStart"/>
      <w:r>
        <w:rPr>
          <w:rFonts w:cs="Times New Roman"/>
        </w:rPr>
        <w:t>μ</w:t>
      </w:r>
      <w:r>
        <w:t>g</w:t>
      </w:r>
      <w:proofErr w:type="spellEnd"/>
      <w:r>
        <w:t xml:space="preserve">/mL, down to 0.078 </w:t>
      </w:r>
      <w:proofErr w:type="spellStart"/>
      <w:r>
        <w:rPr>
          <w:rFonts w:cs="Times New Roman"/>
        </w:rPr>
        <w:t>μ</w:t>
      </w:r>
      <w:r>
        <w:t>g</w:t>
      </w:r>
      <w:proofErr w:type="spellEnd"/>
      <w:r>
        <w:t xml:space="preserve">/mL for vancomycin, and starting at 5 </w:t>
      </w:r>
      <w:proofErr w:type="spellStart"/>
      <w:r>
        <w:rPr>
          <w:rFonts w:cs="Times New Roman"/>
        </w:rPr>
        <w:t>μ</w:t>
      </w:r>
      <w:r>
        <w:t>g</w:t>
      </w:r>
      <w:proofErr w:type="spellEnd"/>
      <w:r>
        <w:t xml:space="preserve">/mL down to 0.039 </w:t>
      </w:r>
      <w:proofErr w:type="spellStart"/>
      <w:r>
        <w:rPr>
          <w:rFonts w:cs="Times New Roman"/>
        </w:rPr>
        <w:t>μ</w:t>
      </w:r>
      <w:r>
        <w:t>g</w:t>
      </w:r>
      <w:proofErr w:type="spellEnd"/>
      <w:r>
        <w:t xml:space="preserve">/mL for daptomycin.  Because antibiotics will be incorporated into agar plates, the concentrations can easily be adjusted based on the results of the first assay, without the need for step-wise serial dilutions. For instance, we may find it is more informative to look at concentrations shifting by only 0.1 </w:t>
      </w:r>
      <w:proofErr w:type="spellStart"/>
      <w:r>
        <w:rPr>
          <w:rFonts w:cs="Times New Roman"/>
        </w:rPr>
        <w:t>μ</w:t>
      </w:r>
      <w:r>
        <w:t>g</w:t>
      </w:r>
      <w:proofErr w:type="spellEnd"/>
      <w:r>
        <w:t xml:space="preserve">/mL (i.e. 1 </w:t>
      </w:r>
      <w:proofErr w:type="spellStart"/>
      <w:r>
        <w:rPr>
          <w:rFonts w:cs="Times New Roman"/>
        </w:rPr>
        <w:t>μ</w:t>
      </w:r>
      <w:r>
        <w:t>g</w:t>
      </w:r>
      <w:proofErr w:type="spellEnd"/>
      <w:r>
        <w:t xml:space="preserve">/mL, 0.9 </w:t>
      </w:r>
      <w:proofErr w:type="spellStart"/>
      <w:r>
        <w:rPr>
          <w:rFonts w:cs="Times New Roman"/>
        </w:rPr>
        <w:t>μ</w:t>
      </w:r>
      <w:r>
        <w:t>g</w:t>
      </w:r>
      <w:proofErr w:type="spellEnd"/>
      <w:r>
        <w:t xml:space="preserve">/mL, 0.8 </w:t>
      </w:r>
      <w:proofErr w:type="spellStart"/>
      <w:r>
        <w:rPr>
          <w:rFonts w:cs="Times New Roman"/>
        </w:rPr>
        <w:t>μ</w:t>
      </w:r>
      <w:r>
        <w:t>g</w:t>
      </w:r>
      <w:proofErr w:type="spellEnd"/>
      <w:r>
        <w:t xml:space="preserve">/mL, and so on). Each dilution of cells will be sterilely spread onto </w:t>
      </w:r>
      <w:r>
        <w:lastRenderedPageBreak/>
        <w:t>plates of each antibiotic-concentration in triplicate. Plates with bacteria will then be left on the benchtop for 15 minutes to dry, thereby preventing patchy and unreliable growth. The plates will be incubated at 37</w:t>
      </w:r>
      <w:r>
        <w:rPr>
          <w:rFonts w:cs="Times New Roman"/>
        </w:rPr>
        <w:t>˚</w:t>
      </w:r>
      <w:r>
        <w:t xml:space="preserve">C for 48 hours before colonies are counted. MICs will then be determined by the concentration of antibiotic that resulted in no colonies. We expect, based on previous studies, that </w:t>
      </w:r>
      <w:proofErr w:type="spellStart"/>
      <w:r w:rsidRPr="00885E5C">
        <w:rPr>
          <w:rFonts w:ascii="Calibri" w:hAnsi="Calibri" w:cs="Calibri"/>
          <w:i/>
          <w:iCs/>
        </w:rPr>
        <w:t>Δ</w:t>
      </w:r>
      <w:r w:rsidRPr="00885E5C">
        <w:rPr>
          <w:i/>
          <w:iCs/>
        </w:rPr>
        <w:t>rpsU</w:t>
      </w:r>
      <w:proofErr w:type="spellEnd"/>
      <w:r>
        <w:rPr>
          <w:i/>
          <w:iCs/>
        </w:rPr>
        <w:t xml:space="preserve"> </w:t>
      </w:r>
      <w:r>
        <w:t xml:space="preserve">will have a higher MIC for both daptomycin and vancomycin when compared to wild-type </w:t>
      </w:r>
      <w:r>
        <w:rPr>
          <w:i/>
          <w:iCs/>
        </w:rPr>
        <w:t>S. aureus.</w:t>
      </w:r>
    </w:p>
    <w:p w14:paraId="2FBE4337" w14:textId="77777777" w:rsidR="00612A09" w:rsidRDefault="00612A09" w:rsidP="00612A09">
      <w:pPr>
        <w:pStyle w:val="Heading3"/>
      </w:pPr>
      <w:r>
        <w:t>3.3.4. Analysis of cell wall size</w:t>
      </w:r>
    </w:p>
    <w:p w14:paraId="31255605" w14:textId="77777777" w:rsidR="00612A09" w:rsidRDefault="00612A09" w:rsidP="00612A09">
      <w:r>
        <w:tab/>
        <w:t xml:space="preserve">Previous research has shown that </w:t>
      </w:r>
      <w:r>
        <w:rPr>
          <w:i/>
          <w:iCs/>
        </w:rPr>
        <w:t xml:space="preserve">S. aureus </w:t>
      </w:r>
      <w:r>
        <w:t xml:space="preserve">cells with increased resistance to vancomycin (vancomycin-intermediate </w:t>
      </w:r>
      <w:r>
        <w:rPr>
          <w:i/>
          <w:iCs/>
        </w:rPr>
        <w:t xml:space="preserve">S. aureus, </w:t>
      </w:r>
      <w:r>
        <w:t xml:space="preserve">or VISA) have thickened cell walls (Cui et al. 2006). In </w:t>
      </w:r>
      <w:r w:rsidRPr="0015638B">
        <w:t xml:space="preserve">order to test whether loss of </w:t>
      </w:r>
      <w:r>
        <w:t xml:space="preserve">bS21 </w:t>
      </w:r>
      <w:r w:rsidRPr="0015638B">
        <w:t>also results in a thickened</w:t>
      </w:r>
      <w:r>
        <w:t xml:space="preserve"> cell wall, we will use transmission electron microscopy (TEM) and prepare samples using a protocol adapted from </w:t>
      </w:r>
      <w:proofErr w:type="spellStart"/>
      <w:r>
        <w:t>Hanaki</w:t>
      </w:r>
      <w:proofErr w:type="spellEnd"/>
      <w:r>
        <w:t xml:space="preserve"> et al. (1998).  First, wild-type and </w:t>
      </w:r>
      <w:proofErr w:type="spellStart"/>
      <w:r w:rsidRPr="00885E5C">
        <w:rPr>
          <w:rFonts w:ascii="Calibri" w:hAnsi="Calibri" w:cs="Calibri"/>
          <w:i/>
          <w:iCs/>
        </w:rPr>
        <w:t>Δ</w:t>
      </w:r>
      <w:r w:rsidRPr="00885E5C">
        <w:rPr>
          <w:i/>
          <w:iCs/>
        </w:rPr>
        <w:t>rpsU</w:t>
      </w:r>
      <w:proofErr w:type="spellEnd"/>
      <w:r>
        <w:t xml:space="preserve"> cells will be grown in BHI to logarithmic phase at 37</w:t>
      </w:r>
      <w:r>
        <w:rPr>
          <w:rFonts w:cs="Times New Roman"/>
        </w:rPr>
        <w:t>˚</w:t>
      </w:r>
      <w:r>
        <w:t>C, shaking aerobically. The cells will be fixed by incubating for two hours in 2% glutaraldehyde in 0.1 M sodium phosphate buffer, pH 7.4. Samples will be stained by incubating for 2 hours at 4</w:t>
      </w:r>
      <w:r>
        <w:rPr>
          <w:rFonts w:cs="Times New Roman"/>
        </w:rPr>
        <w:t>˚</w:t>
      </w:r>
      <w:r>
        <w:t>C with 1% osmium tetroxide. The cells will be dehydrated with ethanol and embedded in resin with thin sections prepared. These will then be stained with uranyl acetate and lead citrate, before being analyzed under a transmission electron microscope (</w:t>
      </w:r>
      <w:proofErr w:type="spellStart"/>
      <w:r>
        <w:t>Hanaki</w:t>
      </w:r>
      <w:proofErr w:type="spellEnd"/>
      <w:r>
        <w:t xml:space="preserve"> et al 1998). The magnification will be set to x30,000 in order to measure cell wall thickness (Cui et al. 2006). We expect to find a thickened cell wall in </w:t>
      </w:r>
      <w:proofErr w:type="spellStart"/>
      <w:r w:rsidRPr="00885E5C">
        <w:rPr>
          <w:rFonts w:ascii="Calibri" w:hAnsi="Calibri" w:cs="Calibri"/>
          <w:i/>
          <w:iCs/>
        </w:rPr>
        <w:t>Δ</w:t>
      </w:r>
      <w:r w:rsidRPr="00885E5C">
        <w:rPr>
          <w:i/>
          <w:iCs/>
        </w:rPr>
        <w:t>rpsU</w:t>
      </w:r>
      <w:proofErr w:type="spellEnd"/>
      <w:r>
        <w:rPr>
          <w:i/>
          <w:iCs/>
        </w:rPr>
        <w:t xml:space="preserve"> </w:t>
      </w:r>
      <w:r>
        <w:t>compared to wild-type cells and hypothesize that this will correlate with increased vancomycin- and daptomycin-resistance.</w:t>
      </w:r>
    </w:p>
    <w:p w14:paraId="0061CAC6" w14:textId="77777777" w:rsidR="00612A09" w:rsidRDefault="00612A09" w:rsidP="00612A09">
      <w:pPr>
        <w:pStyle w:val="Heading1"/>
      </w:pPr>
      <w:r>
        <w:t>4. Resources required</w:t>
      </w:r>
    </w:p>
    <w:p w14:paraId="42ACAFF3" w14:textId="77777777" w:rsidR="00612A09" w:rsidRPr="009F429C" w:rsidRDefault="00612A09" w:rsidP="00612A09">
      <w:r>
        <w:tab/>
        <w:t xml:space="preserve">The majority of resources required for these sets of experiments will be provided by Kathryn Ramsey’s lab. Sequencing will be completed at the Rhode Island Genomics and </w:t>
      </w:r>
      <w:r>
        <w:lastRenderedPageBreak/>
        <w:t>Sequencing Center. Microscopy will be completed using resources from the Rhode Island Consortium for Nanoscience and Nanotechnology. Immunoblotting analyses will be completed at the Rhode Island INBRE core facility.</w:t>
      </w:r>
    </w:p>
    <w:p w14:paraId="29B9488F" w14:textId="5E9A72A2" w:rsidR="00612A09" w:rsidRDefault="00612A09" w:rsidP="00612A09">
      <w:pPr>
        <w:pStyle w:val="Heading1"/>
      </w:pPr>
      <w:r>
        <w:t xml:space="preserve">5. </w:t>
      </w:r>
      <w:r w:rsidRPr="00F746B0">
        <w:t>References:</w:t>
      </w:r>
    </w:p>
    <w:sectPr w:rsidR="00612A0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Kathryn Ramsey" w:date="2020-06-16T10:28:00Z" w:initials="KR">
    <w:p w14:paraId="76EEE27F" w14:textId="605F35D1" w:rsidR="000B3371" w:rsidRDefault="000B3371">
      <w:pPr>
        <w:pStyle w:val="CommentText"/>
      </w:pPr>
      <w:r>
        <w:rPr>
          <w:rStyle w:val="CommentReference"/>
        </w:rPr>
        <w:annotationRef/>
      </w:r>
      <w:r>
        <w:t>Reference figure with this data (okay if not in this section)</w:t>
      </w:r>
    </w:p>
  </w:comment>
  <w:comment w:id="1" w:author="Hannah Trautmann" w:date="2020-06-17T11:04:00Z" w:initials="HT">
    <w:p w14:paraId="290931C3" w14:textId="6FB98FBD" w:rsidR="003A59AA" w:rsidRDefault="003A59AA">
      <w:pPr>
        <w:pStyle w:val="CommentText"/>
      </w:pPr>
      <w:r>
        <w:rPr>
          <w:rStyle w:val="CommentReference"/>
        </w:rPr>
        <w:annotationRef/>
      </w:r>
      <w:r>
        <w:t>Both western and RNA data?</w:t>
      </w:r>
    </w:p>
  </w:comment>
  <w:comment w:id="2" w:author="Hannah Trautmann" w:date="2020-06-17T11:17:00Z" w:initials="HT">
    <w:p w14:paraId="627E8149" w14:textId="1E255943" w:rsidR="00854860" w:rsidRDefault="00854860">
      <w:pPr>
        <w:pStyle w:val="CommentText"/>
      </w:pPr>
      <w:r>
        <w:rPr>
          <w:rStyle w:val="CommentReference"/>
        </w:rPr>
        <w:annotationRef/>
      </w:r>
      <w:r>
        <w:t>Should I suggest other ideas?</w:t>
      </w:r>
    </w:p>
  </w:comment>
  <w:comment w:id="3" w:author="Kathryn Ramsey" w:date="2020-06-16T11:04:00Z" w:initials="KR">
    <w:p w14:paraId="3EA704D7" w14:textId="39AB8C7F" w:rsidR="00EE58D6" w:rsidRDefault="00EE58D6">
      <w:pPr>
        <w:pStyle w:val="CommentText"/>
      </w:pPr>
      <w:r>
        <w:rPr>
          <w:rStyle w:val="CommentReference"/>
        </w:rPr>
        <w:annotationRef/>
      </w:r>
      <w:r>
        <w:t>Did we never change the NH4Cl concentration- always A50?</w:t>
      </w:r>
    </w:p>
  </w:comment>
  <w:comment w:id="4" w:author="Hannah Trautmann" w:date="2020-06-17T11:19:00Z" w:initials="HT">
    <w:p w14:paraId="0BDFCDAA" w14:textId="60BB85FB" w:rsidR="00823CD2" w:rsidRDefault="00823CD2">
      <w:pPr>
        <w:pStyle w:val="CommentText"/>
      </w:pPr>
      <w:r>
        <w:rPr>
          <w:rStyle w:val="CommentReference"/>
        </w:rPr>
        <w:annotationRef/>
      </w:r>
      <w:r>
        <w:t>We changed it in a different buffer, the H10M10A1000 was changed to 500 at some point, but then we just stopped using it because it was only for one wash step and Dr. Gregory said it wasn’t essential.</w:t>
      </w:r>
    </w:p>
  </w:comment>
  <w:comment w:id="5" w:author="Kathryn Ramsey" w:date="2020-06-16T11:09:00Z" w:initials="KR">
    <w:p w14:paraId="2EE6E1CC" w14:textId="244F4D7F" w:rsidR="00886129" w:rsidRDefault="00886129">
      <w:pPr>
        <w:pStyle w:val="CommentText"/>
      </w:pPr>
      <w:r>
        <w:rPr>
          <w:rStyle w:val="CommentReference"/>
        </w:rPr>
        <w:annotationRef/>
      </w:r>
      <w:r>
        <w:t xml:space="preserve">You should take a look at the kit manual- pretty sure we need to use another vector because there is an in vitro transcription aspect- we’ll probably need to use the promoter they specify. </w:t>
      </w:r>
    </w:p>
  </w:comment>
  <w:comment w:id="6" w:author="Kathryn Ramsey" w:date="2020-06-16T11:13:00Z" w:initials="KR">
    <w:p w14:paraId="4D3DF0AD" w14:textId="1D501D71" w:rsidR="00886129" w:rsidRDefault="00886129">
      <w:pPr>
        <w:pStyle w:val="CommentText"/>
      </w:pPr>
      <w:r>
        <w:rPr>
          <w:rStyle w:val="CommentReference"/>
        </w:rPr>
        <w:annotationRef/>
      </w:r>
      <w:r>
        <w:t xml:space="preserve">We should discuss alternate strategies and outcomes a bit more. We don’t have candidate RNA-binding proteins to assess, so unfortunately that would be a bit of a shot in the dark.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6EEE27F" w15:done="0"/>
  <w15:commentEx w15:paraId="290931C3" w15:paraIdParent="76EEE27F" w15:done="0"/>
  <w15:commentEx w15:paraId="627E8149" w15:done="0"/>
  <w15:commentEx w15:paraId="3EA704D7" w15:done="0"/>
  <w15:commentEx w15:paraId="0BDFCDAA" w15:paraIdParent="3EA704D7" w15:done="0"/>
  <w15:commentEx w15:paraId="2EE6E1CC" w15:done="0"/>
  <w15:commentEx w15:paraId="4D3DF0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31D4B" w16cex:dateUtc="2020-06-16T14:28:00Z"/>
  <w16cex:commentExtensible w16cex:durableId="22947741" w16cex:dateUtc="2020-06-17T15:04:00Z"/>
  <w16cex:commentExtensible w16cex:durableId="22947A57" w16cex:dateUtc="2020-06-17T15:17:00Z"/>
  <w16cex:commentExtensible w16cex:durableId="229325A2" w16cex:dateUtc="2020-06-16T15:04:00Z"/>
  <w16cex:commentExtensible w16cex:durableId="22947ACB" w16cex:dateUtc="2020-06-17T15:19:00Z"/>
  <w16cex:commentExtensible w16cex:durableId="229326FA" w16cex:dateUtc="2020-06-16T15:09:00Z"/>
  <w16cex:commentExtensible w16cex:durableId="229327ED" w16cex:dateUtc="2020-06-16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EEE27F" w16cid:durableId="22931D4B"/>
  <w16cid:commentId w16cid:paraId="290931C3" w16cid:durableId="22947741"/>
  <w16cid:commentId w16cid:paraId="627E8149" w16cid:durableId="22947A57"/>
  <w16cid:commentId w16cid:paraId="3EA704D7" w16cid:durableId="229325A2"/>
  <w16cid:commentId w16cid:paraId="0BDFCDAA" w16cid:durableId="22947ACB"/>
  <w16cid:commentId w16cid:paraId="2EE6E1CC" w16cid:durableId="229326FA"/>
  <w16cid:commentId w16cid:paraId="4D3DF0AD" w16cid:durableId="229327E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75DA3"/>
    <w:multiLevelType w:val="hybridMultilevel"/>
    <w:tmpl w:val="F63030BA"/>
    <w:lvl w:ilvl="0" w:tplc="3D2AE588">
      <w:start w:val="1"/>
      <w:numFmt w:val="decimal"/>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F196E"/>
    <w:multiLevelType w:val="hybridMultilevel"/>
    <w:tmpl w:val="7112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B7929"/>
    <w:multiLevelType w:val="hybridMultilevel"/>
    <w:tmpl w:val="F84C2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thryn Ramsey">
    <w15:presenceInfo w15:providerId="Windows Live" w15:userId="f2076829ed1b5947"/>
  </w15:person>
  <w15:person w15:author="Hannah Trautmann">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6AA"/>
    <w:rsid w:val="00001211"/>
    <w:rsid w:val="00006FB3"/>
    <w:rsid w:val="00007E7F"/>
    <w:rsid w:val="00014C98"/>
    <w:rsid w:val="000221E9"/>
    <w:rsid w:val="00036EEF"/>
    <w:rsid w:val="00042B2E"/>
    <w:rsid w:val="00045C8D"/>
    <w:rsid w:val="00046D29"/>
    <w:rsid w:val="000527BE"/>
    <w:rsid w:val="0005321A"/>
    <w:rsid w:val="000709DB"/>
    <w:rsid w:val="00082CDE"/>
    <w:rsid w:val="000A21B5"/>
    <w:rsid w:val="000A3BD0"/>
    <w:rsid w:val="000A7AF7"/>
    <w:rsid w:val="000B23C6"/>
    <w:rsid w:val="000B3371"/>
    <w:rsid w:val="000C048B"/>
    <w:rsid w:val="000D4BBF"/>
    <w:rsid w:val="000E5ED1"/>
    <w:rsid w:val="000E78EF"/>
    <w:rsid w:val="000F27D9"/>
    <w:rsid w:val="000F345F"/>
    <w:rsid w:val="00104584"/>
    <w:rsid w:val="001601BF"/>
    <w:rsid w:val="00174D34"/>
    <w:rsid w:val="00176D63"/>
    <w:rsid w:val="00180BC2"/>
    <w:rsid w:val="00182AA5"/>
    <w:rsid w:val="0018364A"/>
    <w:rsid w:val="00195932"/>
    <w:rsid w:val="001A11F9"/>
    <w:rsid w:val="001B6E1C"/>
    <w:rsid w:val="001C546C"/>
    <w:rsid w:val="001D4A83"/>
    <w:rsid w:val="001F0F90"/>
    <w:rsid w:val="00203897"/>
    <w:rsid w:val="00222E90"/>
    <w:rsid w:val="0024001E"/>
    <w:rsid w:val="00243EB3"/>
    <w:rsid w:val="0024618C"/>
    <w:rsid w:val="00253968"/>
    <w:rsid w:val="002672FB"/>
    <w:rsid w:val="00287CA8"/>
    <w:rsid w:val="00290E15"/>
    <w:rsid w:val="002A7242"/>
    <w:rsid w:val="002B7A11"/>
    <w:rsid w:val="002C25EF"/>
    <w:rsid w:val="002C293D"/>
    <w:rsid w:val="002D0294"/>
    <w:rsid w:val="002D32DE"/>
    <w:rsid w:val="002E62BD"/>
    <w:rsid w:val="002F244E"/>
    <w:rsid w:val="002F4C6D"/>
    <w:rsid w:val="002F5668"/>
    <w:rsid w:val="00321342"/>
    <w:rsid w:val="00326052"/>
    <w:rsid w:val="00343E6F"/>
    <w:rsid w:val="003572B8"/>
    <w:rsid w:val="00374BCE"/>
    <w:rsid w:val="003964C1"/>
    <w:rsid w:val="003A59AA"/>
    <w:rsid w:val="003A6BDA"/>
    <w:rsid w:val="003B7618"/>
    <w:rsid w:val="003D66AA"/>
    <w:rsid w:val="003D6E9E"/>
    <w:rsid w:val="003E6090"/>
    <w:rsid w:val="003F239C"/>
    <w:rsid w:val="00406BE7"/>
    <w:rsid w:val="004126CC"/>
    <w:rsid w:val="00426E5E"/>
    <w:rsid w:val="0043687B"/>
    <w:rsid w:val="00451538"/>
    <w:rsid w:val="0045733E"/>
    <w:rsid w:val="00464CC1"/>
    <w:rsid w:val="0046580E"/>
    <w:rsid w:val="0048282A"/>
    <w:rsid w:val="004B1A0B"/>
    <w:rsid w:val="004B464A"/>
    <w:rsid w:val="004B6159"/>
    <w:rsid w:val="004B6A37"/>
    <w:rsid w:val="004C23DA"/>
    <w:rsid w:val="004C2D25"/>
    <w:rsid w:val="004C54CD"/>
    <w:rsid w:val="004E000C"/>
    <w:rsid w:val="004E1A86"/>
    <w:rsid w:val="00500277"/>
    <w:rsid w:val="005037A3"/>
    <w:rsid w:val="0052484E"/>
    <w:rsid w:val="00534D4D"/>
    <w:rsid w:val="0053794F"/>
    <w:rsid w:val="0056002C"/>
    <w:rsid w:val="00560ABC"/>
    <w:rsid w:val="00581B4B"/>
    <w:rsid w:val="00583148"/>
    <w:rsid w:val="00590F88"/>
    <w:rsid w:val="005910F0"/>
    <w:rsid w:val="005A2CC6"/>
    <w:rsid w:val="005A387F"/>
    <w:rsid w:val="005B3AD2"/>
    <w:rsid w:val="005C3525"/>
    <w:rsid w:val="005C7A37"/>
    <w:rsid w:val="005D080F"/>
    <w:rsid w:val="005D1715"/>
    <w:rsid w:val="005D7075"/>
    <w:rsid w:val="005E413A"/>
    <w:rsid w:val="005E6EEC"/>
    <w:rsid w:val="00602260"/>
    <w:rsid w:val="00611C3C"/>
    <w:rsid w:val="00612A09"/>
    <w:rsid w:val="00612DB1"/>
    <w:rsid w:val="00614A09"/>
    <w:rsid w:val="0061799E"/>
    <w:rsid w:val="00617C5D"/>
    <w:rsid w:val="00623618"/>
    <w:rsid w:val="0063089C"/>
    <w:rsid w:val="00631294"/>
    <w:rsid w:val="0064247E"/>
    <w:rsid w:val="00642781"/>
    <w:rsid w:val="0064279D"/>
    <w:rsid w:val="006507C5"/>
    <w:rsid w:val="006765CD"/>
    <w:rsid w:val="0069793A"/>
    <w:rsid w:val="006A3E58"/>
    <w:rsid w:val="006C1567"/>
    <w:rsid w:val="006D3A36"/>
    <w:rsid w:val="006D6360"/>
    <w:rsid w:val="006E1C88"/>
    <w:rsid w:val="006E5F97"/>
    <w:rsid w:val="006F07E5"/>
    <w:rsid w:val="006F6434"/>
    <w:rsid w:val="0070464D"/>
    <w:rsid w:val="00715F41"/>
    <w:rsid w:val="00741975"/>
    <w:rsid w:val="00742374"/>
    <w:rsid w:val="007453BD"/>
    <w:rsid w:val="007469B3"/>
    <w:rsid w:val="00755AB6"/>
    <w:rsid w:val="00762D7F"/>
    <w:rsid w:val="00766FBB"/>
    <w:rsid w:val="007670C7"/>
    <w:rsid w:val="0076738A"/>
    <w:rsid w:val="0078089D"/>
    <w:rsid w:val="0078183E"/>
    <w:rsid w:val="007818AE"/>
    <w:rsid w:val="007A4580"/>
    <w:rsid w:val="007A5B69"/>
    <w:rsid w:val="007B3DC0"/>
    <w:rsid w:val="007B5B5E"/>
    <w:rsid w:val="007D2561"/>
    <w:rsid w:val="007D5CBF"/>
    <w:rsid w:val="0082152A"/>
    <w:rsid w:val="00823CD2"/>
    <w:rsid w:val="00851400"/>
    <w:rsid w:val="00854860"/>
    <w:rsid w:val="008708B5"/>
    <w:rsid w:val="00882677"/>
    <w:rsid w:val="00886129"/>
    <w:rsid w:val="008B7091"/>
    <w:rsid w:val="008C1237"/>
    <w:rsid w:val="008D3A6A"/>
    <w:rsid w:val="008D70C5"/>
    <w:rsid w:val="008F5AAB"/>
    <w:rsid w:val="00901259"/>
    <w:rsid w:val="009049B4"/>
    <w:rsid w:val="00952DA9"/>
    <w:rsid w:val="00963B11"/>
    <w:rsid w:val="00970E4C"/>
    <w:rsid w:val="00987638"/>
    <w:rsid w:val="009A1FEC"/>
    <w:rsid w:val="009A7056"/>
    <w:rsid w:val="009D21CA"/>
    <w:rsid w:val="009D3D72"/>
    <w:rsid w:val="009D69CB"/>
    <w:rsid w:val="009E538D"/>
    <w:rsid w:val="009E64D1"/>
    <w:rsid w:val="009F1CE4"/>
    <w:rsid w:val="00A1753B"/>
    <w:rsid w:val="00A305A4"/>
    <w:rsid w:val="00A36310"/>
    <w:rsid w:val="00A45F46"/>
    <w:rsid w:val="00A5667B"/>
    <w:rsid w:val="00A56ED6"/>
    <w:rsid w:val="00A611E0"/>
    <w:rsid w:val="00A61BFB"/>
    <w:rsid w:val="00A70BB3"/>
    <w:rsid w:val="00A74233"/>
    <w:rsid w:val="00A866B8"/>
    <w:rsid w:val="00A87FA5"/>
    <w:rsid w:val="00A94090"/>
    <w:rsid w:val="00AB2F8E"/>
    <w:rsid w:val="00AB33BB"/>
    <w:rsid w:val="00AB4180"/>
    <w:rsid w:val="00AC214E"/>
    <w:rsid w:val="00AD0C77"/>
    <w:rsid w:val="00AD1448"/>
    <w:rsid w:val="00AE090E"/>
    <w:rsid w:val="00AE2255"/>
    <w:rsid w:val="00AF1594"/>
    <w:rsid w:val="00AF4928"/>
    <w:rsid w:val="00B01333"/>
    <w:rsid w:val="00B02837"/>
    <w:rsid w:val="00B11340"/>
    <w:rsid w:val="00B13C47"/>
    <w:rsid w:val="00B161F9"/>
    <w:rsid w:val="00B17380"/>
    <w:rsid w:val="00B32876"/>
    <w:rsid w:val="00B33E6C"/>
    <w:rsid w:val="00B35D4F"/>
    <w:rsid w:val="00B406A9"/>
    <w:rsid w:val="00B46FEE"/>
    <w:rsid w:val="00B50316"/>
    <w:rsid w:val="00B619C6"/>
    <w:rsid w:val="00B64EB2"/>
    <w:rsid w:val="00B7638D"/>
    <w:rsid w:val="00BA5E92"/>
    <w:rsid w:val="00BB3C38"/>
    <w:rsid w:val="00BB5E47"/>
    <w:rsid w:val="00BD041A"/>
    <w:rsid w:val="00BD56D0"/>
    <w:rsid w:val="00C01E87"/>
    <w:rsid w:val="00C041C5"/>
    <w:rsid w:val="00C2585C"/>
    <w:rsid w:val="00C40E78"/>
    <w:rsid w:val="00C43238"/>
    <w:rsid w:val="00C4524D"/>
    <w:rsid w:val="00C5279A"/>
    <w:rsid w:val="00C62A24"/>
    <w:rsid w:val="00C76EB2"/>
    <w:rsid w:val="00C8084C"/>
    <w:rsid w:val="00C818F9"/>
    <w:rsid w:val="00C82977"/>
    <w:rsid w:val="00C87D9E"/>
    <w:rsid w:val="00CA2CFE"/>
    <w:rsid w:val="00CA3D32"/>
    <w:rsid w:val="00CB4DC5"/>
    <w:rsid w:val="00CC0E76"/>
    <w:rsid w:val="00CC0E92"/>
    <w:rsid w:val="00CE19E5"/>
    <w:rsid w:val="00CE4435"/>
    <w:rsid w:val="00D22306"/>
    <w:rsid w:val="00D24829"/>
    <w:rsid w:val="00D24FAC"/>
    <w:rsid w:val="00D3124B"/>
    <w:rsid w:val="00D3303F"/>
    <w:rsid w:val="00D753C6"/>
    <w:rsid w:val="00D77517"/>
    <w:rsid w:val="00D86D46"/>
    <w:rsid w:val="00D91DE2"/>
    <w:rsid w:val="00D9275B"/>
    <w:rsid w:val="00DA11AF"/>
    <w:rsid w:val="00DA1790"/>
    <w:rsid w:val="00DA1F6B"/>
    <w:rsid w:val="00DA2401"/>
    <w:rsid w:val="00DA439E"/>
    <w:rsid w:val="00DC13A1"/>
    <w:rsid w:val="00DE0738"/>
    <w:rsid w:val="00DE76BD"/>
    <w:rsid w:val="00E032CE"/>
    <w:rsid w:val="00E236CA"/>
    <w:rsid w:val="00E416EF"/>
    <w:rsid w:val="00E51AB1"/>
    <w:rsid w:val="00E53B32"/>
    <w:rsid w:val="00E665BF"/>
    <w:rsid w:val="00E7374E"/>
    <w:rsid w:val="00E74B71"/>
    <w:rsid w:val="00E84E53"/>
    <w:rsid w:val="00E85F62"/>
    <w:rsid w:val="00EA0601"/>
    <w:rsid w:val="00EA13E7"/>
    <w:rsid w:val="00EA301A"/>
    <w:rsid w:val="00EB3AE8"/>
    <w:rsid w:val="00EB6409"/>
    <w:rsid w:val="00EC60CE"/>
    <w:rsid w:val="00ED0661"/>
    <w:rsid w:val="00EE21A0"/>
    <w:rsid w:val="00EE4A36"/>
    <w:rsid w:val="00EE58D6"/>
    <w:rsid w:val="00F0272B"/>
    <w:rsid w:val="00F25CED"/>
    <w:rsid w:val="00F42045"/>
    <w:rsid w:val="00F62E9E"/>
    <w:rsid w:val="00F67226"/>
    <w:rsid w:val="00F73967"/>
    <w:rsid w:val="00F8416E"/>
    <w:rsid w:val="00F85D36"/>
    <w:rsid w:val="00F90EBF"/>
    <w:rsid w:val="00FB1403"/>
    <w:rsid w:val="00FB2CA9"/>
    <w:rsid w:val="00FC4041"/>
    <w:rsid w:val="00FC631C"/>
    <w:rsid w:val="00FD1767"/>
    <w:rsid w:val="00FD636E"/>
    <w:rsid w:val="00FE0336"/>
    <w:rsid w:val="00FF4FDC"/>
    <w:rsid w:val="00FF7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DCF78"/>
  <w15:chartTrackingRefBased/>
  <w15:docId w15:val="{4D9678F7-AA29-44CD-973E-0AD9E927E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CA9"/>
    <w:pPr>
      <w:spacing w:line="480" w:lineRule="auto"/>
    </w:pPr>
    <w:rPr>
      <w:rFonts w:ascii="Times New Roman" w:hAnsi="Times New Roman"/>
      <w:sz w:val="24"/>
    </w:rPr>
  </w:style>
  <w:style w:type="paragraph" w:styleId="Heading1">
    <w:name w:val="heading 1"/>
    <w:basedOn w:val="Normal"/>
    <w:next w:val="Normal"/>
    <w:link w:val="Heading1Char"/>
    <w:uiPriority w:val="9"/>
    <w:qFormat/>
    <w:rsid w:val="004C54CD"/>
    <w:pPr>
      <w:keepNext/>
      <w:keepLines/>
      <w:spacing w:before="120" w:after="0" w:line="360" w:lineRule="auto"/>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4C54CD"/>
    <w:pPr>
      <w:keepNext/>
      <w:keepLines/>
      <w:spacing w:before="120" w:after="0" w:line="360" w:lineRule="auto"/>
      <w:outlineLvl w:val="1"/>
    </w:pPr>
    <w:rPr>
      <w:rFonts w:eastAsiaTheme="majorEastAsia" w:cstheme="majorBidi"/>
      <w:szCs w:val="26"/>
      <w:u w:val="single"/>
    </w:rPr>
  </w:style>
  <w:style w:type="paragraph" w:styleId="Heading3">
    <w:name w:val="heading 3"/>
    <w:basedOn w:val="Normal"/>
    <w:next w:val="Normal"/>
    <w:link w:val="Heading3Char"/>
    <w:uiPriority w:val="9"/>
    <w:unhideWhenUsed/>
    <w:qFormat/>
    <w:rsid w:val="000B23C6"/>
    <w:pPr>
      <w:keepNext/>
      <w:keepLines/>
      <w:spacing w:before="120" w:after="0" w:line="360" w:lineRule="auto"/>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4CD"/>
    <w:rPr>
      <w:rFonts w:ascii="Times New Roman" w:eastAsiaTheme="majorEastAsia" w:hAnsi="Times New Roman" w:cstheme="majorBidi"/>
      <w:b/>
      <w:sz w:val="24"/>
      <w:szCs w:val="32"/>
    </w:rPr>
  </w:style>
  <w:style w:type="paragraph" w:styleId="NormalWeb">
    <w:name w:val="Normal (Web)"/>
    <w:basedOn w:val="Normal"/>
    <w:uiPriority w:val="99"/>
    <w:unhideWhenUsed/>
    <w:rsid w:val="0076738A"/>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76738A"/>
    <w:rPr>
      <w:color w:val="0000FF"/>
      <w:u w:val="single"/>
    </w:rPr>
  </w:style>
  <w:style w:type="paragraph" w:styleId="CommentText">
    <w:name w:val="annotation text"/>
    <w:basedOn w:val="Normal"/>
    <w:link w:val="CommentTextChar"/>
    <w:uiPriority w:val="99"/>
    <w:unhideWhenUsed/>
    <w:rsid w:val="00FC631C"/>
    <w:pPr>
      <w:spacing w:line="240" w:lineRule="auto"/>
    </w:pPr>
    <w:rPr>
      <w:rFonts w:asciiTheme="minorHAnsi" w:hAnsiTheme="minorHAnsi"/>
      <w:sz w:val="20"/>
      <w:szCs w:val="20"/>
    </w:rPr>
  </w:style>
  <w:style w:type="character" w:customStyle="1" w:styleId="CommentTextChar">
    <w:name w:val="Comment Text Char"/>
    <w:basedOn w:val="DefaultParagraphFont"/>
    <w:link w:val="CommentText"/>
    <w:uiPriority w:val="99"/>
    <w:rsid w:val="00FC631C"/>
    <w:rPr>
      <w:sz w:val="20"/>
      <w:szCs w:val="20"/>
    </w:rPr>
  </w:style>
  <w:style w:type="paragraph" w:styleId="ListParagraph">
    <w:name w:val="List Paragraph"/>
    <w:basedOn w:val="Normal"/>
    <w:uiPriority w:val="34"/>
    <w:qFormat/>
    <w:rsid w:val="00FC631C"/>
    <w:pPr>
      <w:spacing w:line="259" w:lineRule="auto"/>
      <w:ind w:left="720"/>
      <w:contextualSpacing/>
    </w:pPr>
    <w:rPr>
      <w:rFonts w:asciiTheme="minorHAnsi" w:hAnsiTheme="minorHAnsi"/>
      <w:sz w:val="22"/>
    </w:rPr>
  </w:style>
  <w:style w:type="character" w:customStyle="1" w:styleId="Heading2Char">
    <w:name w:val="Heading 2 Char"/>
    <w:basedOn w:val="DefaultParagraphFont"/>
    <w:link w:val="Heading2"/>
    <w:uiPriority w:val="9"/>
    <w:rsid w:val="004C54CD"/>
    <w:rPr>
      <w:rFonts w:ascii="Times New Roman" w:eastAsiaTheme="majorEastAsia" w:hAnsi="Times New Roman" w:cstheme="majorBidi"/>
      <w:sz w:val="24"/>
      <w:szCs w:val="26"/>
      <w:u w:val="single"/>
    </w:rPr>
  </w:style>
  <w:style w:type="character" w:customStyle="1" w:styleId="Heading3Char">
    <w:name w:val="Heading 3 Char"/>
    <w:basedOn w:val="DefaultParagraphFont"/>
    <w:link w:val="Heading3"/>
    <w:uiPriority w:val="9"/>
    <w:rsid w:val="000B23C6"/>
    <w:rPr>
      <w:rFonts w:ascii="Times New Roman" w:eastAsiaTheme="majorEastAsia" w:hAnsi="Times New Roman" w:cstheme="majorBidi"/>
      <w:i/>
      <w:sz w:val="24"/>
      <w:szCs w:val="24"/>
    </w:rPr>
  </w:style>
  <w:style w:type="paragraph" w:styleId="BalloonText">
    <w:name w:val="Balloon Text"/>
    <w:basedOn w:val="Normal"/>
    <w:link w:val="BalloonTextChar"/>
    <w:uiPriority w:val="99"/>
    <w:semiHidden/>
    <w:unhideWhenUsed/>
    <w:rsid w:val="00176D63"/>
    <w:pPr>
      <w:spacing w:after="0" w:line="240" w:lineRule="auto"/>
    </w:pPr>
    <w:rPr>
      <w:rFonts w:cs="Times New Roman"/>
      <w:sz w:val="18"/>
      <w:szCs w:val="18"/>
    </w:rPr>
  </w:style>
  <w:style w:type="character" w:customStyle="1" w:styleId="BalloonTextChar">
    <w:name w:val="Balloon Text Char"/>
    <w:basedOn w:val="DefaultParagraphFont"/>
    <w:link w:val="BalloonText"/>
    <w:uiPriority w:val="99"/>
    <w:semiHidden/>
    <w:rsid w:val="00176D63"/>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0B3371"/>
    <w:rPr>
      <w:sz w:val="16"/>
      <w:szCs w:val="16"/>
    </w:rPr>
  </w:style>
  <w:style w:type="paragraph" w:styleId="CommentSubject">
    <w:name w:val="annotation subject"/>
    <w:basedOn w:val="CommentText"/>
    <w:next w:val="CommentText"/>
    <w:link w:val="CommentSubjectChar"/>
    <w:uiPriority w:val="99"/>
    <w:semiHidden/>
    <w:unhideWhenUsed/>
    <w:rsid w:val="000B3371"/>
    <w:rPr>
      <w:rFonts w:ascii="Times New Roman" w:hAnsi="Times New Roman"/>
      <w:b/>
      <w:bCs/>
    </w:rPr>
  </w:style>
  <w:style w:type="character" w:customStyle="1" w:styleId="CommentSubjectChar">
    <w:name w:val="Comment Subject Char"/>
    <w:basedOn w:val="CommentTextChar"/>
    <w:link w:val="CommentSubject"/>
    <w:uiPriority w:val="99"/>
    <w:semiHidden/>
    <w:rsid w:val="000B3371"/>
    <w:rPr>
      <w:rFonts w:ascii="Times New Roman" w:hAnsi="Times New Roman"/>
      <w:b/>
      <w:bCs/>
      <w:sz w:val="20"/>
      <w:szCs w:val="20"/>
    </w:rPr>
  </w:style>
  <w:style w:type="table" w:styleId="TableGrid">
    <w:name w:val="Table Grid"/>
    <w:basedOn w:val="TableNormal"/>
    <w:uiPriority w:val="39"/>
    <w:rsid w:val="000A21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81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microsoft.com/office/2011/relationships/people" Target="peop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image" Target="media/image3.png"/><Relationship Id="rId5" Type="http://schemas.openxmlformats.org/officeDocument/2006/relationships/comments" Target="comment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9</Pages>
  <Words>2224</Words>
  <Characters>12678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Trautmann</dc:creator>
  <cp:keywords/>
  <dc:description/>
  <cp:lastModifiedBy>Hannah Trautmann</cp:lastModifiedBy>
  <cp:revision>15</cp:revision>
  <dcterms:created xsi:type="dcterms:W3CDTF">2020-06-17T14:59:00Z</dcterms:created>
  <dcterms:modified xsi:type="dcterms:W3CDTF">2020-06-17T15:47:00Z</dcterms:modified>
</cp:coreProperties>
</file>